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3AB" w:rsidRPr="005C48FD" w:rsidRDefault="00B023AB" w:rsidP="005C48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48FD">
        <w:rPr>
          <w:b/>
          <w:bCs/>
          <w:sz w:val="28"/>
          <w:szCs w:val="28"/>
        </w:rPr>
        <w:t>EVOLUÇÃO E ATUALIDADE DAS DIRETR</w:t>
      </w:r>
      <w:r>
        <w:rPr>
          <w:b/>
          <w:bCs/>
          <w:sz w:val="28"/>
          <w:szCs w:val="28"/>
        </w:rPr>
        <w:t xml:space="preserve">IZES E AÇÕES PARA A EDUCAÇÃO EM </w:t>
      </w:r>
      <w:r w:rsidRPr="005C48FD">
        <w:rPr>
          <w:b/>
          <w:bCs/>
          <w:sz w:val="28"/>
          <w:szCs w:val="28"/>
        </w:rPr>
        <w:t>ENGENHARIA</w:t>
      </w:r>
    </w:p>
    <w:p w:rsidR="00B023AB" w:rsidRDefault="00B023AB" w:rsidP="00B16441">
      <w:pPr>
        <w:jc w:val="center"/>
        <w:rPr>
          <w:b/>
          <w:sz w:val="28"/>
          <w:szCs w:val="28"/>
        </w:rPr>
      </w:pPr>
    </w:p>
    <w:p w:rsidR="00B023AB" w:rsidRDefault="00B023AB" w:rsidP="00B16441">
      <w:pPr>
        <w:jc w:val="center"/>
        <w:rPr>
          <w:b/>
          <w:sz w:val="28"/>
          <w:szCs w:val="28"/>
        </w:rPr>
      </w:pPr>
      <w:r w:rsidRPr="00B16441">
        <w:rPr>
          <w:b/>
          <w:sz w:val="28"/>
          <w:szCs w:val="28"/>
        </w:rPr>
        <w:t>REFERENCIAIS NACIONAIS PARA OS CURSOS DE ENGENHARIA FRENTE A ATUAL LEGISLAÇÃO DO ENSINO DE ENGENHARIA</w:t>
      </w:r>
    </w:p>
    <w:p w:rsidR="00B023AB" w:rsidRDefault="00B023AB" w:rsidP="00B16441">
      <w:pPr>
        <w:jc w:val="center"/>
        <w:rPr>
          <w:b/>
        </w:rPr>
      </w:pPr>
    </w:p>
    <w:p w:rsidR="00B023AB" w:rsidRDefault="00B023AB" w:rsidP="00B16441">
      <w:pPr>
        <w:jc w:val="center"/>
        <w:rPr>
          <w:b/>
        </w:rPr>
      </w:pPr>
    </w:p>
    <w:p w:rsidR="00B023AB" w:rsidRDefault="00B023AB" w:rsidP="00B16441">
      <w:pPr>
        <w:jc w:val="center"/>
        <w:rPr>
          <w:b/>
        </w:rPr>
      </w:pPr>
    </w:p>
    <w:p w:rsidR="00B023AB" w:rsidRDefault="00B023AB" w:rsidP="00A3381F">
      <w:r>
        <w:rPr>
          <w:b/>
        </w:rPr>
        <w:t xml:space="preserve">Maria J. G. Salum – </w:t>
      </w:r>
      <w:hyperlink r:id="rId5" w:history="1">
        <w:r w:rsidRPr="00197432">
          <w:rPr>
            <w:rStyle w:val="Hyperlink"/>
          </w:rPr>
          <w:t>gazzisalum@hotmail.com</w:t>
        </w:r>
      </w:hyperlink>
      <w:r>
        <w:t xml:space="preserve"> </w:t>
      </w:r>
      <w:r w:rsidRPr="00A3381F">
        <w:t>U</w:t>
      </w:r>
      <w:r>
        <w:t>niversidade F</w:t>
      </w:r>
      <w:r w:rsidRPr="00A3381F">
        <w:t>ederal de Minas Gerais</w:t>
      </w:r>
    </w:p>
    <w:p w:rsidR="00B023AB" w:rsidRDefault="00B023AB" w:rsidP="00A3381F"/>
    <w:p w:rsidR="00B023AB" w:rsidRDefault="00B023AB" w:rsidP="00A3381F"/>
    <w:p w:rsidR="00B023AB" w:rsidRDefault="00B023AB" w:rsidP="00A3381F"/>
    <w:p w:rsidR="00B023AB" w:rsidRPr="002D15E5" w:rsidRDefault="00B023AB" w:rsidP="002D15E5">
      <w:pPr>
        <w:jc w:val="both"/>
      </w:pPr>
      <w:r w:rsidRPr="00A3381F">
        <w:rPr>
          <w:b/>
          <w:i/>
        </w:rPr>
        <w:t>Resumo</w:t>
      </w:r>
      <w:r>
        <w:rPr>
          <w:b/>
          <w:i/>
        </w:rPr>
        <w:t xml:space="preserve">: </w:t>
      </w:r>
      <w:r>
        <w:t xml:space="preserve">o presente trabalho faz uma análise comparativa entre as Diretrizes Curriculares Para o Ensino de Engenharia (Resolução CNE 11/2002), as cargas horárias mínimas da Resolução CNE 02/2007 e o projeto: Referenciais Nacionais Para os Cursos de Engenharia, elaborados pela Sesu, em </w:t>
      </w:r>
      <w:smartTag w:uri="urn:schemas-microsoft-com:office:smarttags" w:element="metricconverter">
        <w:smartTagPr>
          <w:attr w:name="ProductID" w:val="2009. A"/>
        </w:smartTagPr>
        <w:r>
          <w:t>2009. A</w:t>
        </w:r>
      </w:smartTag>
      <w:r>
        <w:t xml:space="preserve"> análise mostrou que os Referenciais alteram e interferem em conceitos teóricos e práticos das Diretrizes Curriculares e das cargas horárias mínimas dos cursos, configurando, portanto, uma alteração da atual legislação. A aplicação dos Referenciais ao Curso de Engenharia de Minas corroborou com essa conclusão. </w:t>
      </w:r>
    </w:p>
    <w:p w:rsidR="00B023AB" w:rsidRDefault="00B023AB" w:rsidP="00A3381F">
      <w:pPr>
        <w:rPr>
          <w:b/>
          <w:i/>
        </w:rPr>
      </w:pPr>
    </w:p>
    <w:p w:rsidR="00B023AB" w:rsidRPr="003C03E2" w:rsidRDefault="00B023AB" w:rsidP="00A3381F">
      <w:r>
        <w:rPr>
          <w:b/>
          <w:i/>
        </w:rPr>
        <w:t>Palavras-Chave:</w:t>
      </w:r>
      <w:r>
        <w:t xml:space="preserve"> Referenciais Nacionais dos Cursos de Engenharia, Diretrizes Curriculares Para os Cursos de Engenharia, Curso de Engenharia de Minas.</w:t>
      </w:r>
    </w:p>
    <w:p w:rsidR="00B023AB" w:rsidRDefault="00B023AB"/>
    <w:p w:rsidR="00B023AB" w:rsidRDefault="00B023AB">
      <w:pPr>
        <w:rPr>
          <w:b/>
        </w:rPr>
      </w:pPr>
    </w:p>
    <w:p w:rsidR="00B023AB" w:rsidRPr="00680E01" w:rsidRDefault="00B023AB">
      <w:pPr>
        <w:rPr>
          <w:b/>
        </w:rPr>
      </w:pPr>
      <w:r>
        <w:rPr>
          <w:b/>
        </w:rPr>
        <w:t>1.     CONTEXTUALIZAÇÃO</w:t>
      </w:r>
    </w:p>
    <w:p w:rsidR="00B023AB" w:rsidRDefault="00B023AB"/>
    <w:p w:rsidR="00B023AB" w:rsidRDefault="00B023AB" w:rsidP="008F3CA4">
      <w:pPr>
        <w:autoSpaceDE w:val="0"/>
        <w:autoSpaceDN w:val="0"/>
        <w:adjustRightInd w:val="0"/>
        <w:jc w:val="both"/>
      </w:pPr>
      <w:r>
        <w:t xml:space="preserve">       Em 2002, o Conselho Nacional de Educação/Câmara de Educação Superior, por meio da Resolução CNE/CES 11, instituiu as Diretrizes Curriculares Nacionais do Curso de Graduação em Engenharia, cujo objetivo básico foi orientar os cursos de graduação para ter “como perfil do formando/egresso um engenheiro com formação generalista, humanista, crítica e reflexiva, capacitado a absorver e desenvolver novas tecnologias, com atuação crítica e criativa na identificação e resolução de problemas, considerando seus aspectos políticos, econômicos, sociais, ambientais e culturais, com visão ética e humanística, em atendimento às demandas da sociedade”.</w:t>
      </w:r>
    </w:p>
    <w:p w:rsidR="00B023AB" w:rsidRPr="002D50A7" w:rsidRDefault="00B023AB" w:rsidP="002D50A7">
      <w:pPr>
        <w:autoSpaceDE w:val="0"/>
        <w:autoSpaceDN w:val="0"/>
        <w:adjustRightInd w:val="0"/>
        <w:jc w:val="both"/>
      </w:pPr>
      <w:r>
        <w:t xml:space="preserve">       Em </w:t>
      </w:r>
      <w:smartTag w:uri="urn:schemas-microsoft-com:office:smarttags" w:element="metricconverter">
        <w:smartTagPr>
          <w:attr w:name="ProductID" w:val="2009, in"/>
        </w:smartTagPr>
        <w:r>
          <w:t>2009</w:t>
        </w:r>
        <w:r w:rsidRPr="008F3CA4">
          <w:t>, a</w:t>
        </w:r>
      </w:smartTag>
      <w:r w:rsidRPr="008F3CA4">
        <w:t xml:space="preserve"> Secretaria de Educação de E</w:t>
      </w:r>
      <w:r>
        <w:t>ducação Superior</w:t>
      </w:r>
      <w:r w:rsidRPr="008F3CA4">
        <w:t xml:space="preserve"> – Sesu, </w:t>
      </w:r>
      <w:r>
        <w:t>c</w:t>
      </w:r>
      <w:r w:rsidRPr="008F3CA4">
        <w:t>olocou sob consulta pública um documento, denominado Referenciais</w:t>
      </w:r>
      <w:r>
        <w:t xml:space="preserve"> Nacionais dos Cursos de Graduação. De acordo com o documento, ainda disponível no Portal do MEC (MEC,2010), os Referenciais Nacionais são considerados como instrumentos ou mecanismos criados para os seguintes objetivos: i) “</w:t>
      </w:r>
      <w:r w:rsidRPr="008F3CA4">
        <w:rPr>
          <w:color w:val="343434"/>
        </w:rPr>
        <w:t>contribuir com a avaliação, a regulação e a supervisão dos cursos de graduação (bacharelado e licenciatura), com desdobramentos para a mobilidade e empregabili</w:t>
      </w:r>
      <w:r>
        <w:rPr>
          <w:color w:val="343434"/>
        </w:rPr>
        <w:t>dade dos egressos desses cursos”;</w:t>
      </w:r>
      <w:r>
        <w:t xml:space="preserve"> ii) “constituir-se em referência para o aprimoramento dos projetos pedagógicos, para orientar estudantes nas escolhas profissionais e para facilitar a mobilidade interinstitucional, assim como propiciar aos setores de recursos humanos das empresas, órgãos públicos e do terceiro setor maior clareza na identificação da formação necessária aos seus quadros de pessoal”; iii) “contribuir para organizar as ofertas de cursos superiores, uniformizando denominações para conteúdos e perfis similares, de modo a produzir convergências que facilitem a compreensão por todos os segmentos interessados na formação superior, sem inibir possibilidades de contemplar especificidades demandadas por regiões ou setores laborais do País”; e, finalmente: iv) dada a existência de denominações variadas para os cursos de graduação “elaborar, com o auxílio de profissionais e pesquisadores que atuam nas áreas, uma proposta de nomenclatura que adapta as denominações atualmente existentes”.</w:t>
      </w:r>
    </w:p>
    <w:p w:rsidR="00B023AB" w:rsidRDefault="00B023AB" w:rsidP="005B2D62">
      <w:pPr>
        <w:autoSpaceDE w:val="0"/>
        <w:autoSpaceDN w:val="0"/>
        <w:adjustRightInd w:val="0"/>
        <w:jc w:val="both"/>
      </w:pPr>
      <w:r>
        <w:rPr>
          <w:color w:val="343434"/>
        </w:rPr>
        <w:t xml:space="preserve">       </w:t>
      </w:r>
      <w:r>
        <w:t xml:space="preserve">       Essas questões foram pontuadas em declarações d</w:t>
      </w:r>
      <w:r w:rsidRPr="00DE4AF6">
        <w:t xml:space="preserve">o diretor da </w:t>
      </w:r>
      <w:r>
        <w:t>Sesu</w:t>
      </w:r>
      <w:r w:rsidRPr="00DE4AF6">
        <w:t>, Paulo Wollinger, que coordenou o proje</w:t>
      </w:r>
      <w:r>
        <w:t xml:space="preserve">to dos Referenciais de Cursos, antes mesmo do MEC disponibilizar o documento para consulta pública. São exemplos: </w:t>
      </w:r>
      <w:r w:rsidRPr="005D3D15">
        <w:rPr>
          <w:b/>
        </w:rPr>
        <w:t>i)</w:t>
      </w:r>
      <w:r>
        <w:t xml:space="preserve"> a reduçao do número</w:t>
      </w:r>
      <w:r w:rsidRPr="00DE4AF6">
        <w:t xml:space="preserve"> de denominações de cursos de Engenharia de 234 para apenas 22</w:t>
      </w:r>
      <w:r>
        <w:t xml:space="preserve">; </w:t>
      </w:r>
      <w:r w:rsidRPr="005D3D15">
        <w:rPr>
          <w:b/>
        </w:rPr>
        <w:t>ii)</w:t>
      </w:r>
      <w:r>
        <w:t xml:space="preserve"> as 22 modalidades que seriam reconhecidas eram:</w:t>
      </w:r>
      <w:r w:rsidRPr="00DE4AF6">
        <w:t xml:space="preserve"> Agronomia, Arquitetura e Urbanismo, Engenharia Aeronáutica, Engenharia Agrícola, Engenharia Ambiental, Engenharia Civil, Engenharia de Agrimensura, Engenharia de Alimentos, Engenharia de Computação, Engenharia de Controle e Automação, Engenharia de Materiais, Engenharia de Minas, Engenharia de Pesca, Engenharia de Produção, Engenharia de Telecomunicações, Engenharia Elétrica, Engenharia Eletrônica, Engenharia Florestal, Engenharia Mecânica, Engenharia Metalúrgica, Engenharia Naval, Engenharia Química</w:t>
      </w:r>
      <w:r>
        <w:t xml:space="preserve"> </w:t>
      </w:r>
      <w:r w:rsidRPr="005D3D15">
        <w:rPr>
          <w:b/>
        </w:rPr>
        <w:t>ii</w:t>
      </w:r>
      <w:r>
        <w:rPr>
          <w:b/>
        </w:rPr>
        <w:t>i</w:t>
      </w:r>
      <w:r w:rsidRPr="005D3D15">
        <w:rPr>
          <w:b/>
        </w:rPr>
        <w:t>)</w:t>
      </w:r>
      <w:r>
        <w:t xml:space="preserve"> os Referenciais serviriam</w:t>
      </w:r>
      <w:r w:rsidRPr="00DE4AF6">
        <w:t xml:space="preserve"> para melhorar a avaliação dos cursos</w:t>
      </w:r>
      <w:r>
        <w:t xml:space="preserve">: </w:t>
      </w:r>
      <w:r w:rsidRPr="00DE4AF6">
        <w:t>“Temos um problema na</w:t>
      </w:r>
      <w:r>
        <w:t xml:space="preserve"> avaliação no Exame Nacional de </w:t>
      </w:r>
      <w:r w:rsidRPr="00DE4AF6">
        <w:t>Desempenho de Estudantes (Enade), pois avaliamos cursos dentro de uma mesma área que nem sempre têm um perfil semelhante. A avaliaç</w:t>
      </w:r>
      <w:r>
        <w:t>ão não é representativa”. No dia 29 de junho de 2009, todas essas falas estavam traduzidas no documento disponibilizado pelo MEC (MEC, 2009).</w:t>
      </w:r>
    </w:p>
    <w:p w:rsidR="00B023AB" w:rsidRDefault="00B023AB" w:rsidP="005B2D62">
      <w:pPr>
        <w:autoSpaceDE w:val="0"/>
        <w:autoSpaceDN w:val="0"/>
        <w:adjustRightInd w:val="0"/>
        <w:jc w:val="both"/>
      </w:pPr>
      <w:r>
        <w:t xml:space="preserve">       </w:t>
      </w:r>
      <w:r w:rsidRPr="009E46A4">
        <w:t>De imediato, a A</w:t>
      </w:r>
      <w:r>
        <w:t>ssociação Brasileira de Ensino de Engenharia - A</w:t>
      </w:r>
      <w:r w:rsidRPr="009E46A4">
        <w:t>BENGE manifestou</w:t>
      </w:r>
      <w:r>
        <w:t>-se</w:t>
      </w:r>
      <w:r w:rsidRPr="009E46A4">
        <w:t xml:space="preserve"> </w:t>
      </w:r>
      <w:r>
        <w:t>contrária</w:t>
      </w:r>
      <w:r w:rsidRPr="009E46A4">
        <w:t xml:space="preserve"> à forma de </w:t>
      </w:r>
      <w:r>
        <w:t xml:space="preserve">encaminhamento dos Referenciais, pelo pouco envolvimento da comunidade acadêmica no processo, diferentemente </w:t>
      </w:r>
      <w:r w:rsidRPr="009E46A4">
        <w:t xml:space="preserve">do que </w:t>
      </w:r>
      <w:r>
        <w:t>havia ocorrido</w:t>
      </w:r>
      <w:r w:rsidRPr="009E46A4">
        <w:t xml:space="preserve"> na constru</w:t>
      </w:r>
      <w:r>
        <w:t xml:space="preserve">ção das Diretrizes Curriculares. Das negociações entre a ABENGE e a Sesu resultaram: </w:t>
      </w:r>
      <w:r w:rsidRPr="009E46A4">
        <w:t>a extensão do prazo</w:t>
      </w:r>
      <w:r>
        <w:t xml:space="preserve"> de contribuições para os Referenciais</w:t>
      </w:r>
      <w:r w:rsidRPr="009E46A4">
        <w:t xml:space="preserve"> de 31 de julho para 05 </w:t>
      </w:r>
      <w:r>
        <w:t>de agosto e a discussão do documento no COBENGE, com a presença de representante do MEC (ABENGE, 2009).</w:t>
      </w:r>
    </w:p>
    <w:p w:rsidR="00B023AB" w:rsidRDefault="00B023AB" w:rsidP="00EA526D">
      <w:pPr>
        <w:autoSpaceDE w:val="0"/>
        <w:autoSpaceDN w:val="0"/>
        <w:adjustRightInd w:val="0"/>
        <w:jc w:val="both"/>
      </w:pPr>
      <w:r>
        <w:t xml:space="preserve">       </w:t>
      </w:r>
      <w:r w:rsidRPr="009E46A4">
        <w:t>De acordo com o MEC</w:t>
      </w:r>
      <w:r>
        <w:t xml:space="preserve"> (MEC, 2009)</w:t>
      </w:r>
      <w:r w:rsidRPr="009E46A4">
        <w:t xml:space="preserve">, item apresentação do projeto dos Referenciais colocado em consulta pública, </w:t>
      </w:r>
      <w:r>
        <w:t xml:space="preserve">a versão final do documento seria publicada em novembro e a partir de janeiro de 2010 seria dado um prazo para as instituições iniciarem suas adaptações aos Referenciais. </w:t>
      </w:r>
      <w:r w:rsidRPr="009E46A4">
        <w:t xml:space="preserve">Entretanto, até o momento, não existe uma posição oficial do MEC a este respeito. Supõe-se aqui que a forte intervenção da ABENGE e as manifestações de docentes e </w:t>
      </w:r>
      <w:r>
        <w:t>IES</w:t>
      </w:r>
      <w:r w:rsidRPr="009E46A4">
        <w:t xml:space="preserve"> recebidas durante o COBENGE/2009 foram responsáveis por essa interrupção no processo de implantação dos Referenciais Nacionais dos Cursos de Engenharia.</w:t>
      </w:r>
    </w:p>
    <w:p w:rsidR="00B023AB" w:rsidRDefault="00B023AB" w:rsidP="00EA526D">
      <w:pPr>
        <w:autoSpaceDE w:val="0"/>
        <w:autoSpaceDN w:val="0"/>
        <w:adjustRightInd w:val="0"/>
        <w:jc w:val="both"/>
      </w:pPr>
      <w:r>
        <w:t xml:space="preserve">       </w:t>
      </w:r>
      <w:r w:rsidRPr="009E46A4">
        <w:t>Esse breve histórico não tem como objetivo discutir as posições</w:t>
      </w:r>
      <w:r>
        <w:t xml:space="preserve"> do MEC ou da ABENGE, mas ele se torna importante à medida que contextualiza o que se quer aqui avaliar: a definição dada pela MEC de que: “</w:t>
      </w:r>
      <w:r w:rsidRPr="009E46A4">
        <w:rPr>
          <w:u w:val="single"/>
        </w:rPr>
        <w:t xml:space="preserve">o </w:t>
      </w:r>
      <w:r w:rsidRPr="009E46A4">
        <w:rPr>
          <w:b/>
          <w:bCs/>
          <w:u w:val="single"/>
        </w:rPr>
        <w:t xml:space="preserve">Referencial de Curso </w:t>
      </w:r>
      <w:r w:rsidRPr="009E46A4">
        <w:rPr>
          <w:u w:val="single"/>
        </w:rPr>
        <w:t>não se configura como currículo mínimo, nem deve ser entendido como uma diretriz curricular, visto que os cursos que já possuem diretrizes estabelecidas devem continuar seguindo-as</w:t>
      </w:r>
      <w:r>
        <w:t xml:space="preserve"> (grifo nosso)”(MEC, 2009).</w:t>
      </w:r>
    </w:p>
    <w:p w:rsidR="00B023AB" w:rsidRPr="00112964" w:rsidRDefault="00B023AB" w:rsidP="009E46A4">
      <w:pPr>
        <w:pStyle w:val="NormalWeb"/>
        <w:jc w:val="both"/>
        <w:rPr>
          <w:b/>
        </w:rPr>
      </w:pPr>
      <w:r w:rsidRPr="00112964">
        <w:rPr>
          <w:b/>
        </w:rPr>
        <w:t xml:space="preserve">2. </w:t>
      </w:r>
      <w:r>
        <w:rPr>
          <w:b/>
        </w:rPr>
        <w:t xml:space="preserve">  </w:t>
      </w:r>
      <w:r w:rsidRPr="00112964">
        <w:rPr>
          <w:b/>
        </w:rPr>
        <w:t xml:space="preserve">OS REFERENCIAIS NACIONAIS DOS CURSOS DE ENGENHARIA </w:t>
      </w:r>
      <w:r>
        <w:rPr>
          <w:b/>
        </w:rPr>
        <w:t>FRENTE</w:t>
      </w:r>
      <w:r w:rsidRPr="00112964">
        <w:rPr>
          <w:b/>
        </w:rPr>
        <w:t xml:space="preserve"> </w:t>
      </w:r>
      <w:r>
        <w:rPr>
          <w:b/>
        </w:rPr>
        <w:t xml:space="preserve">À LEGISLAÇÃO ATUAL </w:t>
      </w:r>
    </w:p>
    <w:p w:rsidR="00B023AB" w:rsidRPr="00112964" w:rsidRDefault="00B023AB" w:rsidP="009E46A4">
      <w:pPr>
        <w:autoSpaceDE w:val="0"/>
        <w:autoSpaceDN w:val="0"/>
        <w:adjustRightInd w:val="0"/>
        <w:jc w:val="both"/>
        <w:rPr>
          <w:color w:val="333333"/>
        </w:rPr>
      </w:pPr>
      <w:r>
        <w:rPr>
          <w:color w:val="333333"/>
        </w:rPr>
        <w:t xml:space="preserve">       </w:t>
      </w:r>
      <w:r w:rsidRPr="009E46A4">
        <w:rPr>
          <w:color w:val="333333"/>
        </w:rPr>
        <w:t>De acordo com o MEC: “</w:t>
      </w:r>
      <w:r w:rsidRPr="009E46A4">
        <w:t xml:space="preserve">O </w:t>
      </w:r>
      <w:r w:rsidRPr="009E46A4">
        <w:rPr>
          <w:b/>
          <w:bCs/>
        </w:rPr>
        <w:t xml:space="preserve">Referencial de Curso </w:t>
      </w:r>
      <w:r w:rsidRPr="009E46A4">
        <w:t>é um descritivo que aponta, em linhas gerais, um perfil do</w:t>
      </w:r>
      <w:r>
        <w:t xml:space="preserve"> </w:t>
      </w:r>
      <w:r w:rsidRPr="009E46A4">
        <w:t>profissional formado, os temas abordados durante a formação, as áreas em que o</w:t>
      </w:r>
      <w:r>
        <w:t xml:space="preserve"> </w:t>
      </w:r>
      <w:r w:rsidRPr="009E46A4">
        <w:t xml:space="preserve">profissional poderá atuar e a </w:t>
      </w:r>
      <w:r>
        <w:t>infra-estrutura</w:t>
      </w:r>
      <w:r w:rsidRPr="009E46A4">
        <w:t xml:space="preserve"> necessária para a implantação do curso. Ele não limita as instituições na proposição de cursos, uma vez que traça um referencial que não é limitador, mas apenas orientador. Portanto, cada Instituição de Ensino Superior (IES) pode, respeitando o mínimo apontado no referencial, inserir novas temáticas, bem como delinear linhas de formação no curso.</w:t>
      </w:r>
    </w:p>
    <w:p w:rsidR="00B023AB" w:rsidRDefault="00B023AB" w:rsidP="009E46A4">
      <w:pPr>
        <w:autoSpaceDE w:val="0"/>
        <w:autoSpaceDN w:val="0"/>
        <w:adjustRightInd w:val="0"/>
        <w:jc w:val="both"/>
      </w:pPr>
      <w:r>
        <w:t xml:space="preserve">       </w:t>
      </w:r>
      <w:r w:rsidRPr="009E46A4">
        <w:t xml:space="preserve">As </w:t>
      </w:r>
      <w:r w:rsidRPr="009E46A4">
        <w:rPr>
          <w:b/>
          <w:bCs/>
        </w:rPr>
        <w:t xml:space="preserve">Linhas de Formação </w:t>
      </w:r>
      <w:r w:rsidRPr="009E46A4">
        <w:t>particularizam o curso, enfocando aspectos teóricos ou práticos pertinentes para o curso oferecido pela IES no contexto histórico e social em que ela se insere. No entanto, não se configuram como habilitações, pois não aparecem no nome do curso, apenas nas habilidades e competências desenvolvidas pelo aluno ao longo de sua formação e no detalhamento do seu histórico escolar.</w:t>
      </w:r>
      <w:r>
        <w:t xml:space="preserve"> O documento finaliza dizendo que:</w:t>
      </w:r>
      <w:r w:rsidRPr="003304B4">
        <w:t xml:space="preserve"> “</w:t>
      </w:r>
      <w:r>
        <w:rPr>
          <w:u w:val="single"/>
        </w:rPr>
        <w:t xml:space="preserve">o </w:t>
      </w:r>
      <w:r w:rsidRPr="009E46A4">
        <w:rPr>
          <w:b/>
          <w:bCs/>
          <w:u w:val="single"/>
        </w:rPr>
        <w:t xml:space="preserve">Referencial de Curso </w:t>
      </w:r>
      <w:r w:rsidRPr="009E46A4">
        <w:rPr>
          <w:u w:val="single"/>
        </w:rPr>
        <w:t>não se configura como currículo mínimo, nem deve ser entendido como uma diretriz curricular, visto que os cursos que já possuem diretrizes estabelecidas devem continuar seguindo-as</w:t>
      </w:r>
      <w:r>
        <w:t xml:space="preserve"> (grifo nosso)” (MEC, 2009).</w:t>
      </w:r>
    </w:p>
    <w:p w:rsidR="00B023AB" w:rsidRDefault="00B023AB" w:rsidP="009E46A4">
      <w:pPr>
        <w:autoSpaceDE w:val="0"/>
        <w:autoSpaceDN w:val="0"/>
        <w:adjustRightInd w:val="0"/>
        <w:jc w:val="both"/>
      </w:pPr>
      <w:r>
        <w:t xml:space="preserve">       Os Referenciais colocados sob consulta pública apresentam, para cada um dos 21 cursos de engenharia propostos pelo MEC e para Arquitetura e Agronomia, os seguintes itens: Perfil do Egresso, Temas Abordados na Formação, Áreas de Atuação e Infra-Estrutura Recomendada, além da legislação do CONFEA pertinente a cada um desses cursos e, no caso das engenharias, a Resolução Nº 11/2002 do CNE/CES.</w:t>
      </w:r>
    </w:p>
    <w:p w:rsidR="00B023AB" w:rsidRDefault="00B023AB" w:rsidP="009E46A4">
      <w:pPr>
        <w:autoSpaceDE w:val="0"/>
        <w:autoSpaceDN w:val="0"/>
        <w:adjustRightInd w:val="0"/>
        <w:jc w:val="both"/>
      </w:pPr>
      <w:r>
        <w:t xml:space="preserve">       Teoricamente, pela definição do MEC de que os Referencias de Cursos não se configuram como currículo mínimo e nem devem ser entendidos como diretrizes curriculares, ele não deveria trazer diferenças ou contradições com esses instrumentos de regulação do ensino de engenharia. Entretanto, existem algumas diferenças de caráter conceitual e prático entre os dois. A Tabela 1, apresentada a seguir, mostra algumas dessas diferenças.</w:t>
      </w:r>
    </w:p>
    <w:p w:rsidR="00B023AB" w:rsidRDefault="00B023AB" w:rsidP="00A14463">
      <w:pPr>
        <w:autoSpaceDE w:val="0"/>
        <w:autoSpaceDN w:val="0"/>
        <w:adjustRightInd w:val="0"/>
        <w:jc w:val="both"/>
      </w:pPr>
      <w:r>
        <w:t xml:space="preserve">       </w:t>
      </w:r>
    </w:p>
    <w:p w:rsidR="00B023AB" w:rsidRDefault="00B023AB" w:rsidP="00A74C26">
      <w:pPr>
        <w:autoSpaceDE w:val="0"/>
        <w:autoSpaceDN w:val="0"/>
        <w:adjustRightInd w:val="0"/>
        <w:jc w:val="center"/>
      </w:pPr>
      <w:r>
        <w:t>Tabela 1 – Diferenças entre as Diretrizes Curriculares e os Referenciais Nacionais</w:t>
      </w:r>
    </w:p>
    <w:p w:rsidR="00B023AB" w:rsidRDefault="00B023AB" w:rsidP="009E46A4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068"/>
        <w:gridCol w:w="4500"/>
      </w:tblGrid>
      <w:tr w:rsidR="00B023AB" w:rsidTr="00A74C26">
        <w:trPr>
          <w:jc w:val="center"/>
        </w:trPr>
        <w:tc>
          <w:tcPr>
            <w:tcW w:w="4068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74C26">
              <w:rPr>
                <w:b/>
                <w:sz w:val="20"/>
                <w:szCs w:val="20"/>
              </w:rPr>
              <w:t>Diretrizes Curriculares</w:t>
            </w:r>
          </w:p>
        </w:tc>
        <w:tc>
          <w:tcPr>
            <w:tcW w:w="4500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74C26">
              <w:rPr>
                <w:b/>
                <w:sz w:val="20"/>
                <w:szCs w:val="20"/>
              </w:rPr>
              <w:t>Referencias Nacionais</w:t>
            </w:r>
          </w:p>
        </w:tc>
      </w:tr>
      <w:tr w:rsidR="00B023AB" w:rsidTr="00A74C26">
        <w:trPr>
          <w:jc w:val="center"/>
        </w:trPr>
        <w:tc>
          <w:tcPr>
            <w:tcW w:w="4068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 xml:space="preserve">Não define nomes de cursos de engenharia e não inclui Arquitetura e Urbanismo. </w:t>
            </w:r>
            <w:r>
              <w:rPr>
                <w:sz w:val="20"/>
                <w:szCs w:val="20"/>
              </w:rPr>
              <w:t xml:space="preserve">Outra Resolução define as Diretrizes da </w:t>
            </w:r>
            <w:r w:rsidRPr="00A74C26">
              <w:rPr>
                <w:sz w:val="20"/>
                <w:szCs w:val="20"/>
              </w:rPr>
              <w:t>Arquitetura e Urbanismo .</w:t>
            </w:r>
          </w:p>
        </w:tc>
        <w:tc>
          <w:tcPr>
            <w:tcW w:w="4500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Delimita a existência de 21 cursos de engenharia e inclui Arquitetura e Urbanismo nos Referenciais das Engenharias</w:t>
            </w:r>
          </w:p>
        </w:tc>
      </w:tr>
      <w:tr w:rsidR="00B023AB" w:rsidTr="00A74C26">
        <w:trPr>
          <w:jc w:val="center"/>
        </w:trPr>
        <w:tc>
          <w:tcPr>
            <w:tcW w:w="4068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 xml:space="preserve">Não define áreas de atuação dos egressos dos cursos de engenharia. </w:t>
            </w:r>
          </w:p>
        </w:tc>
        <w:tc>
          <w:tcPr>
            <w:tcW w:w="4500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 xml:space="preserve">Delimita as áreas de atuação </w:t>
            </w:r>
            <w:r>
              <w:rPr>
                <w:sz w:val="20"/>
                <w:szCs w:val="20"/>
              </w:rPr>
              <w:t xml:space="preserve">profissional </w:t>
            </w:r>
            <w:r w:rsidRPr="00A74C26">
              <w:rPr>
                <w:sz w:val="20"/>
                <w:szCs w:val="20"/>
              </w:rPr>
              <w:t xml:space="preserve">de acordo com os temas abordados durante a formação </w:t>
            </w:r>
          </w:p>
        </w:tc>
      </w:tr>
      <w:tr w:rsidR="00B023AB" w:rsidTr="00A74C26">
        <w:trPr>
          <w:jc w:val="center"/>
        </w:trPr>
        <w:tc>
          <w:tcPr>
            <w:tcW w:w="4068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Define o perfil do engenheiro de forma generalista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00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Define o perfil do engenheiro por curso</w:t>
            </w:r>
          </w:p>
        </w:tc>
      </w:tr>
      <w:tr w:rsidR="00B023AB" w:rsidTr="00A74C26">
        <w:trPr>
          <w:jc w:val="center"/>
        </w:trPr>
        <w:tc>
          <w:tcPr>
            <w:tcW w:w="4068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Explicita a divisão dos currículos em núcleos de conhecimentos e suas porcentagens em relação à carga horária mínima: conteúdos básicos (30%), conteúdos profissionalizantes (15%) e conteúdos específicos (55%)</w:t>
            </w:r>
          </w:p>
        </w:tc>
        <w:tc>
          <w:tcPr>
            <w:tcW w:w="4500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Não explicita a divisão em núcleos de conhecimento dos currículos e suas porcentagens em relação à carga horária mínima dos cursos</w:t>
            </w:r>
          </w:p>
        </w:tc>
      </w:tr>
      <w:tr w:rsidR="00B023AB" w:rsidTr="00A74C26">
        <w:trPr>
          <w:jc w:val="center"/>
        </w:trPr>
        <w:tc>
          <w:tcPr>
            <w:tcW w:w="4068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Apresenta uma listagem de 53 tópicos que deverão ser coerentemente integrados pelas IES para compor os conteúdos profissionalizantes</w:t>
            </w:r>
          </w:p>
        </w:tc>
        <w:tc>
          <w:tcPr>
            <w:tcW w:w="4500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Descrimina os conteúdos profissionalizantes para cada um dos 21 cursos de engenharia e para a Arquitetura e Urbanismo</w:t>
            </w:r>
          </w:p>
        </w:tc>
      </w:tr>
      <w:tr w:rsidR="00B023AB" w:rsidTr="00A74C26">
        <w:trPr>
          <w:jc w:val="center"/>
        </w:trPr>
        <w:tc>
          <w:tcPr>
            <w:tcW w:w="4068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 xml:space="preserve">Refere-se aos conteúdos específicos como aqueles que irão aprofundar os conhecimentos profissionalizantes </w:t>
            </w:r>
          </w:p>
        </w:tc>
        <w:tc>
          <w:tcPr>
            <w:tcW w:w="4500" w:type="dxa"/>
          </w:tcPr>
          <w:p w:rsidR="00B023AB" w:rsidRPr="00A74C26" w:rsidRDefault="00B023AB" w:rsidP="00A74C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74C26">
              <w:rPr>
                <w:sz w:val="20"/>
                <w:szCs w:val="20"/>
              </w:rPr>
              <w:t>Não faz referência aos conteúdos específicos</w:t>
            </w:r>
          </w:p>
        </w:tc>
      </w:tr>
    </w:tbl>
    <w:p w:rsidR="00B023AB" w:rsidRDefault="00B023AB" w:rsidP="007748CC">
      <w:pPr>
        <w:pStyle w:val="Default"/>
        <w:ind w:right="17"/>
        <w:jc w:val="both"/>
      </w:pPr>
      <w:r>
        <w:t xml:space="preserve">         </w:t>
      </w:r>
    </w:p>
    <w:p w:rsidR="00B023AB" w:rsidRPr="00A14463" w:rsidRDefault="00B023AB" w:rsidP="007748CC">
      <w:pPr>
        <w:pStyle w:val="Default"/>
        <w:ind w:right="17"/>
        <w:jc w:val="both"/>
        <w:rPr>
          <w:rFonts w:ascii="Times New Roman" w:hAnsi="Times New Roman" w:cs="Times New Roman"/>
        </w:rPr>
      </w:pPr>
      <w:r>
        <w:t xml:space="preserve">       </w:t>
      </w:r>
      <w:r w:rsidRPr="00A14463">
        <w:rPr>
          <w:rFonts w:ascii="Times New Roman" w:hAnsi="Times New Roman" w:cs="Times New Roman"/>
        </w:rPr>
        <w:t xml:space="preserve">Da Tabela 1 apreende-se que os Referenciais Nacionais, em relação às Diretrizes Curriculares: </w:t>
      </w:r>
      <w:r w:rsidRPr="00A14463">
        <w:rPr>
          <w:rFonts w:ascii="Times New Roman" w:hAnsi="Times New Roman" w:cs="Times New Roman"/>
          <w:b/>
        </w:rPr>
        <w:t>i)</w:t>
      </w:r>
      <w:r w:rsidRPr="00A14463">
        <w:rPr>
          <w:rFonts w:ascii="Times New Roman" w:hAnsi="Times New Roman" w:cs="Times New Roman"/>
        </w:rPr>
        <w:t xml:space="preserve"> diminui o grau de liberdade dado às IES para a elaboração dos conteúdos profissionalizantes dos seus currículos e denominação dos cursos; </w:t>
      </w:r>
      <w:r w:rsidRPr="00A14463">
        <w:rPr>
          <w:rFonts w:ascii="Times New Roman" w:hAnsi="Times New Roman" w:cs="Times New Roman"/>
          <w:b/>
        </w:rPr>
        <w:t>ii)</w:t>
      </w:r>
      <w:r w:rsidRPr="00A14463">
        <w:rPr>
          <w:rFonts w:ascii="Times New Roman" w:hAnsi="Times New Roman" w:cs="Times New Roman"/>
        </w:rPr>
        <w:t xml:space="preserve"> não absorve o fundamento das Diretrizes Curriculares que o foco do currículo são as competências e habilidades adquiridas pelos alunos, que elas determinarão o perfil profissional e a sua área de atuação e não apenas o nome do curso; </w:t>
      </w:r>
      <w:r w:rsidRPr="00A14463">
        <w:rPr>
          <w:rFonts w:ascii="Times New Roman" w:hAnsi="Times New Roman" w:cs="Times New Roman"/>
          <w:b/>
        </w:rPr>
        <w:t>iii)</w:t>
      </w:r>
      <w:r w:rsidRPr="00A14463">
        <w:rPr>
          <w:rFonts w:ascii="Times New Roman" w:hAnsi="Times New Roman" w:cs="Times New Roman"/>
        </w:rPr>
        <w:t xml:space="preserve"> incorpora a Arquitetura e Urbanismo nas engenharias, quando na maioria das IES, no CNPq e na própria CAPES, o referido curso se enquadra na área de Ciências Sociais Aplicadas (CAPES, 2009, CNPq, 2009); </w:t>
      </w:r>
      <w:r w:rsidRPr="00A14463">
        <w:rPr>
          <w:rFonts w:ascii="Times New Roman" w:hAnsi="Times New Roman" w:cs="Times New Roman"/>
          <w:b/>
        </w:rPr>
        <w:t>iv)</w:t>
      </w:r>
      <w:r w:rsidRPr="00A14463">
        <w:rPr>
          <w:rFonts w:ascii="Times New Roman" w:hAnsi="Times New Roman" w:cs="Times New Roman"/>
        </w:rPr>
        <w:t xml:space="preserve"> determinam o conteúdo profissionalizante mínimo para cada uma das 21 modalidades de engenharia</w:t>
      </w:r>
    </w:p>
    <w:p w:rsidR="00B023AB" w:rsidRDefault="00B023AB" w:rsidP="007748CC">
      <w:pPr>
        <w:pStyle w:val="Default"/>
        <w:ind w:right="1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     </w:t>
      </w:r>
      <w:r w:rsidRPr="004B2329">
        <w:rPr>
          <w:rFonts w:ascii="Times New Roman" w:hAnsi="Times New Roman" w:cs="Times New Roman"/>
        </w:rPr>
        <w:t>Soma-se às contradições observadas em relação às Diretrizes Curriculares, outra</w:t>
      </w:r>
      <w:r>
        <w:rPr>
          <w:rFonts w:ascii="Times New Roman" w:hAnsi="Times New Roman" w:cs="Times New Roman"/>
        </w:rPr>
        <w:t>,</w:t>
      </w:r>
      <w:r w:rsidRPr="004B2329">
        <w:rPr>
          <w:rFonts w:ascii="Times New Roman" w:hAnsi="Times New Roman" w:cs="Times New Roman"/>
        </w:rPr>
        <w:t xml:space="preserve"> referente à carga horária mínima </w:t>
      </w:r>
      <w:r>
        <w:rPr>
          <w:rFonts w:ascii="Times New Roman" w:hAnsi="Times New Roman" w:cs="Times New Roman"/>
        </w:rPr>
        <w:t xml:space="preserve">(CHM) para os Cursos de Engenharia, </w:t>
      </w:r>
      <w:r w:rsidRPr="004B2329">
        <w:rPr>
          <w:rFonts w:ascii="Times New Roman" w:hAnsi="Times New Roman" w:cs="Times New Roman"/>
        </w:rPr>
        <w:t xml:space="preserve">estabelecida pela </w:t>
      </w:r>
      <w:r>
        <w:rPr>
          <w:rFonts w:ascii="Times New Roman" w:hAnsi="Times New Roman" w:cs="Times New Roman"/>
          <w:bCs/>
          <w:spacing w:val="20"/>
        </w:rPr>
        <w:t>R</w:t>
      </w:r>
      <w:r w:rsidRPr="004B2329">
        <w:rPr>
          <w:rFonts w:ascii="Times New Roman" w:hAnsi="Times New Roman" w:cs="Times New Roman"/>
          <w:bCs/>
          <w:spacing w:val="20"/>
        </w:rPr>
        <w:t>esolução nº 2, de 200</w:t>
      </w:r>
      <w:r>
        <w:rPr>
          <w:rFonts w:ascii="Times New Roman" w:hAnsi="Times New Roman" w:cs="Times New Roman"/>
          <w:bCs/>
          <w:spacing w:val="20"/>
        </w:rPr>
        <w:t>7</w:t>
      </w:r>
      <w:r>
        <w:rPr>
          <w:rFonts w:ascii="Times New Roman" w:hAnsi="Times New Roman" w:cs="Times New Roman"/>
          <w:bCs/>
          <w:color w:val="auto"/>
        </w:rPr>
        <w:t>, do CNE/CES, em 3.600 horas, desde que os Referenciais</w:t>
      </w:r>
    </w:p>
    <w:p w:rsidR="00B023AB" w:rsidRPr="007748CC" w:rsidRDefault="00B023AB" w:rsidP="007748CC">
      <w:pPr>
        <w:pStyle w:val="Default"/>
        <w:ind w:right="1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modificam a CHM para os cursos de engenharia de agrimensura, civil e de minas de 3.600 horas para 3.200 horas.</w:t>
      </w:r>
    </w:p>
    <w:p w:rsidR="00B023AB" w:rsidRDefault="00B023AB" w:rsidP="00754574">
      <w:pPr>
        <w:autoSpaceDE w:val="0"/>
        <w:autoSpaceDN w:val="0"/>
        <w:adjustRightInd w:val="0"/>
        <w:jc w:val="both"/>
      </w:pPr>
      <w:r>
        <w:t xml:space="preserve">       Essas são, portanto, questões que põem em cheque a afirmação do MEC de que os Referenciais Nacionais dos Cursos de Engenharia não estão substituindo as Diretrizes Curriculares. </w:t>
      </w:r>
    </w:p>
    <w:p w:rsidR="00B023AB" w:rsidRPr="00A14463" w:rsidRDefault="00B023AB" w:rsidP="007F4F4E">
      <w:pPr>
        <w:autoSpaceDE w:val="0"/>
        <w:autoSpaceDN w:val="0"/>
        <w:adjustRightInd w:val="0"/>
        <w:jc w:val="both"/>
        <w:rPr>
          <w:b/>
        </w:rPr>
      </w:pPr>
      <w:r>
        <w:t xml:space="preserve">       Tomemos como exemplo prático, para ratificar essas observações o caso específico do Curso de Engenharia de Minas.</w:t>
      </w:r>
      <w:r>
        <w:rPr>
          <w:b/>
        </w:rPr>
        <w:t xml:space="preserve"> </w:t>
      </w:r>
      <w:r>
        <w:t>A análise será feita considerando: i) o núcleo de conteúdos profissionalizantes e CHM propostos pelos Referenciais; e ii) que os seguintes parâmetros das Diretrizes Curriculares  permaneceram inalterados: núcleo de conteúdos básicos e sua porcentagem em relação à CHM, porcentagem do núcleo profissionalizante em relação à CHM e o núcleo de  conteúdos específicos e sua porcentagem em relação à CHM.</w:t>
      </w:r>
    </w:p>
    <w:p w:rsidR="00B023AB" w:rsidRDefault="00B023AB" w:rsidP="007F4F4E">
      <w:pPr>
        <w:autoSpaceDE w:val="0"/>
        <w:autoSpaceDN w:val="0"/>
        <w:adjustRightInd w:val="0"/>
        <w:jc w:val="both"/>
      </w:pPr>
      <w:r>
        <w:t xml:space="preserve">       A alteração na CHM proposta pelos Referenciais de Curso em Relação às Diretrizes Curriculares de 400 horas é o equivalente a aproximadamente o mínimo estabelecido para os cursos de especialização, donde se conclui que sob o ponto de vista do próprio MEC elas não são insignificantes. Independentemente das diversas correntes de discussão sobre o ideal de carga horária para os cursos de engenharia, a mudança da CHM para 3.200 horas, proposta pelos Referenciais, não está suportada por nenhuma explicação técnica ou pedagógica.</w:t>
      </w:r>
    </w:p>
    <w:p w:rsidR="00B023AB" w:rsidRPr="00B42C73" w:rsidRDefault="00B023AB" w:rsidP="00FC6FFA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       Diante da possibilidade de mudanças, que de fato podem alterar o currículo de um curso de engenharia de minas, a pergunta que as IES poderiam fazer é: é</w:t>
      </w:r>
      <w:r w:rsidRPr="00EC59FD">
        <w:t xml:space="preserve"> possível</w:t>
      </w:r>
      <w:r>
        <w:t xml:space="preserve"> operacionalizar essas mudanças</w:t>
      </w:r>
      <w:r w:rsidRPr="00EC59FD">
        <w:t>?</w:t>
      </w:r>
      <w:r>
        <w:t xml:space="preserve"> Pelo menos até o momento a resposta é não, porque os Referenciais não estão, ainda, oficializados. Mas se vierem a sê-lo, não teria o MEC que modificar as Diretrizes Curriculares? Sob o ponto de vista jurídico a resposta é sim, não apenas pela mudança da CHM para o curso, mas também pela mudança nos conteúdos profissionalizantes, como será discutido a seguir.</w:t>
      </w:r>
    </w:p>
    <w:p w:rsidR="00B023AB" w:rsidRPr="004627D4" w:rsidRDefault="00B023AB" w:rsidP="00075EB8">
      <w:pPr>
        <w:autoSpaceDE w:val="0"/>
        <w:autoSpaceDN w:val="0"/>
        <w:adjustRightInd w:val="0"/>
        <w:jc w:val="both"/>
        <w:rPr>
          <w:rStyle w:val="Strong"/>
          <w:b w:val="0"/>
        </w:rPr>
      </w:pPr>
      <w:r>
        <w:rPr>
          <w:rStyle w:val="Strong"/>
          <w:b w:val="0"/>
          <w:color w:val="333333"/>
        </w:rPr>
        <w:t xml:space="preserve">       Segundo </w:t>
      </w:r>
      <w:r w:rsidRPr="004627D4">
        <w:rPr>
          <w:rStyle w:val="Strong"/>
          <w:b w:val="0"/>
        </w:rPr>
        <w:t>as Diretrizes</w:t>
      </w:r>
      <w:r>
        <w:rPr>
          <w:rStyle w:val="Strong"/>
          <w:b w:val="0"/>
        </w:rPr>
        <w:t xml:space="preserve"> Curriculares,</w:t>
      </w:r>
      <w:r w:rsidRPr="004627D4">
        <w:rPr>
          <w:rStyle w:val="Strong"/>
          <w:b w:val="0"/>
        </w:rPr>
        <w:t xml:space="preserve"> </w:t>
      </w:r>
      <w:r>
        <w:rPr>
          <w:rStyle w:val="Strong"/>
          <w:b w:val="0"/>
        </w:rPr>
        <w:t>os conteúdos profissionalizantes, compondo 15% da CHM, deveriam ser compostos a partir de uma listagem de 53 tópicos listados nas Diretrizes. Esses tópicos abordam</w:t>
      </w:r>
      <w:r w:rsidRPr="004627D4">
        <w:rPr>
          <w:rStyle w:val="Strong"/>
          <w:b w:val="0"/>
        </w:rPr>
        <w:t xml:space="preserve"> conteúdos específicos de determinadas modalidades da </w:t>
      </w:r>
      <w:r>
        <w:rPr>
          <w:rStyle w:val="Strong"/>
          <w:b w:val="0"/>
        </w:rPr>
        <w:t>engenharia,</w:t>
      </w:r>
      <w:r w:rsidRPr="004627D4">
        <w:rPr>
          <w:rStyle w:val="Strong"/>
          <w:b w:val="0"/>
        </w:rPr>
        <w:t xml:space="preserve"> das ch</w:t>
      </w:r>
      <w:r>
        <w:rPr>
          <w:rStyle w:val="Strong"/>
          <w:b w:val="0"/>
        </w:rPr>
        <w:t>amadas ciências das engenharias</w:t>
      </w:r>
      <w:r w:rsidRPr="004627D4">
        <w:rPr>
          <w:rStyle w:val="Strong"/>
          <w:b w:val="0"/>
        </w:rPr>
        <w:t xml:space="preserve"> ou de aprofundamentos dos conteúdos básicos. Já nos referenciais, os conteúdos listados dizem respeito estritamente a conteúdos considerados como básicos para a formação do profissional da modalidade de </w:t>
      </w:r>
      <w:r>
        <w:rPr>
          <w:rStyle w:val="Strong"/>
          <w:b w:val="0"/>
        </w:rPr>
        <w:t>engenharia de minas. A Tabela 2</w:t>
      </w:r>
      <w:r w:rsidRPr="004627D4">
        <w:rPr>
          <w:rStyle w:val="Strong"/>
          <w:b w:val="0"/>
        </w:rPr>
        <w:t xml:space="preserve"> sintetiza todas as correspondências encontradas entre os conteúdos profissionalizantes listados nos Referenciai</w:t>
      </w:r>
      <w:r>
        <w:rPr>
          <w:rStyle w:val="Strong"/>
          <w:b w:val="0"/>
        </w:rPr>
        <w:t xml:space="preserve">s e nas Diretrizes Curriculares. A partir dela </w:t>
      </w:r>
      <w:r w:rsidRPr="004627D4">
        <w:rPr>
          <w:rStyle w:val="Strong"/>
          <w:b w:val="0"/>
        </w:rPr>
        <w:t>conclui-se que</w:t>
      </w:r>
      <w:r>
        <w:rPr>
          <w:rStyle w:val="Strong"/>
          <w:b w:val="0"/>
        </w:rPr>
        <w:t>:</w:t>
      </w:r>
      <w:r w:rsidRPr="004627D4">
        <w:rPr>
          <w:rStyle w:val="Strong"/>
          <w:b w:val="0"/>
        </w:rPr>
        <w:t xml:space="preserve"> dos 13</w:t>
      </w:r>
      <w:r>
        <w:rPr>
          <w:rStyle w:val="Strong"/>
          <w:b w:val="0"/>
        </w:rPr>
        <w:t xml:space="preserve"> (treze)</w:t>
      </w:r>
      <w:r w:rsidRPr="004627D4">
        <w:rPr>
          <w:rStyle w:val="Strong"/>
          <w:b w:val="0"/>
        </w:rPr>
        <w:t xml:space="preserve"> conteúdos profissionalizantes listados nos Ref</w:t>
      </w:r>
      <w:r>
        <w:rPr>
          <w:rStyle w:val="Strong"/>
          <w:b w:val="0"/>
        </w:rPr>
        <w:t>erenciais</w:t>
      </w:r>
      <w:r w:rsidRPr="004627D4">
        <w:rPr>
          <w:rStyle w:val="Strong"/>
          <w:b w:val="0"/>
        </w:rPr>
        <w:t>, 6 (seis) não têm correspondência nas Diretrizes Curriculares e 2 (dois) têm correspondência nos conteúdos básicos e não nos profissionalizantes das Diretrizes. Em resumo, a correspondência entre os dois conteúdos profissionalizantes é de apenas 38,46%.</w:t>
      </w:r>
      <w:r>
        <w:rPr>
          <w:rStyle w:val="Strong"/>
          <w:b w:val="0"/>
        </w:rPr>
        <w:t xml:space="preserve"> Logo, fica demonstrado, mais uma vez, que um curso de engenharia de minas pode ser substancialmente modificado substituindo-se as Diretrizes Curriculares pelos Referenciais de Curso.</w:t>
      </w:r>
    </w:p>
    <w:p w:rsidR="00B023AB" w:rsidRDefault="00B023AB" w:rsidP="00A74C26">
      <w:pPr>
        <w:autoSpaceDE w:val="0"/>
        <w:autoSpaceDN w:val="0"/>
        <w:adjustRightInd w:val="0"/>
        <w:jc w:val="center"/>
        <w:rPr>
          <w:rStyle w:val="Strong"/>
          <w:b w:val="0"/>
        </w:rPr>
      </w:pPr>
    </w:p>
    <w:p w:rsidR="00B023AB" w:rsidRPr="004627D4" w:rsidRDefault="00B023AB" w:rsidP="00B42C73">
      <w:pPr>
        <w:autoSpaceDE w:val="0"/>
        <w:autoSpaceDN w:val="0"/>
        <w:adjustRightInd w:val="0"/>
        <w:jc w:val="both"/>
        <w:rPr>
          <w:rStyle w:val="Strong"/>
        </w:rPr>
      </w:pPr>
      <w:r w:rsidRPr="004627D4">
        <w:rPr>
          <w:rStyle w:val="Strong"/>
        </w:rPr>
        <w:t>4. CONCLUSÃO</w:t>
      </w:r>
    </w:p>
    <w:p w:rsidR="00B023AB" w:rsidRPr="004627D4" w:rsidRDefault="00B023AB" w:rsidP="00B42C73">
      <w:pPr>
        <w:autoSpaceDE w:val="0"/>
        <w:autoSpaceDN w:val="0"/>
        <w:adjustRightInd w:val="0"/>
        <w:jc w:val="both"/>
        <w:rPr>
          <w:rStyle w:val="Strong"/>
          <w:b w:val="0"/>
        </w:rPr>
      </w:pPr>
    </w:p>
    <w:p w:rsidR="00B023AB" w:rsidRPr="004627D4" w:rsidRDefault="00B023AB" w:rsidP="00B42C73">
      <w:pPr>
        <w:autoSpaceDE w:val="0"/>
        <w:autoSpaceDN w:val="0"/>
        <w:adjustRightInd w:val="0"/>
        <w:jc w:val="both"/>
        <w:rPr>
          <w:rStyle w:val="Strong"/>
          <w:b w:val="0"/>
        </w:rPr>
      </w:pPr>
      <w:r w:rsidRPr="004627D4">
        <w:rPr>
          <w:rStyle w:val="Strong"/>
          <w:b w:val="0"/>
        </w:rPr>
        <w:t xml:space="preserve">       Da análise feita sobre os Referenciais Nacionais Para os Cursos de Graduação, proposto pelo MEC, depreende-se que eles contradizem em diversos pontos os princípios básicos das Diretrizes Curriculares</w:t>
      </w:r>
      <w:r>
        <w:rPr>
          <w:rStyle w:val="Strong"/>
          <w:b w:val="0"/>
        </w:rPr>
        <w:t xml:space="preserve"> da Resolução CNE 1</w:t>
      </w:r>
      <w:r w:rsidRPr="004627D4">
        <w:rPr>
          <w:rStyle w:val="Strong"/>
          <w:b w:val="0"/>
        </w:rPr>
        <w:t>1/</w:t>
      </w:r>
      <w:r>
        <w:rPr>
          <w:rStyle w:val="Strong"/>
          <w:b w:val="0"/>
        </w:rPr>
        <w:t xml:space="preserve">2002 e da Resolução CNE 02/2007 que versa sobre a carga horária mínima para os cursos de graduação, atuando, portanto, como um substitutivo de pelo menos parte da atual legislação.  </w:t>
      </w:r>
      <w:r w:rsidRPr="004627D4">
        <w:rPr>
          <w:rStyle w:val="Strong"/>
          <w:b w:val="0"/>
        </w:rPr>
        <w:t xml:space="preserve">O estudo de caso do efeito dos Referenciais sobre os Cursos </w:t>
      </w:r>
      <w:r>
        <w:rPr>
          <w:rStyle w:val="Strong"/>
          <w:b w:val="0"/>
        </w:rPr>
        <w:t>de Engenharia de Minas confirma essa constatação.</w:t>
      </w:r>
    </w:p>
    <w:p w:rsidR="00B023AB" w:rsidRPr="004627D4" w:rsidRDefault="00B023AB" w:rsidP="00B42C73">
      <w:pPr>
        <w:autoSpaceDE w:val="0"/>
        <w:autoSpaceDN w:val="0"/>
        <w:adjustRightInd w:val="0"/>
        <w:jc w:val="both"/>
        <w:rPr>
          <w:rStyle w:val="Strong"/>
          <w:b w:val="0"/>
        </w:rPr>
      </w:pPr>
      <w:r w:rsidRPr="004627D4">
        <w:rPr>
          <w:rStyle w:val="Strong"/>
          <w:b w:val="0"/>
        </w:rPr>
        <w:t xml:space="preserve">       Diante desses fatos, é recomendado que o MEC abra uma agenda para um espaço participativo de discussões sobre o projeto dos Referenciais, aos moldes do que foi feito com as Diretrizes Curriculares Para o Ensino de Engenharia.</w:t>
      </w:r>
    </w:p>
    <w:p w:rsidR="00B023AB" w:rsidRDefault="00B023AB" w:rsidP="002D15E5">
      <w:pPr>
        <w:autoSpaceDE w:val="0"/>
        <w:autoSpaceDN w:val="0"/>
        <w:adjustRightInd w:val="0"/>
        <w:rPr>
          <w:rStyle w:val="Strong"/>
          <w:b w:val="0"/>
        </w:rPr>
      </w:pPr>
    </w:p>
    <w:p w:rsidR="00B023AB" w:rsidRPr="004627D4" w:rsidRDefault="00B023AB" w:rsidP="00A74C26">
      <w:pPr>
        <w:autoSpaceDE w:val="0"/>
        <w:autoSpaceDN w:val="0"/>
        <w:adjustRightInd w:val="0"/>
        <w:jc w:val="center"/>
        <w:rPr>
          <w:rStyle w:val="Strong"/>
          <w:b w:val="0"/>
        </w:rPr>
      </w:pPr>
      <w:r w:rsidRPr="004627D4">
        <w:rPr>
          <w:rStyle w:val="Strong"/>
          <w:b w:val="0"/>
        </w:rPr>
        <w:t>Tabela 2 – Diferenças Entre os Conteúdos Profissionalizantes dos Referenciais de Curso e as Diretrizes Curriculares</w:t>
      </w:r>
    </w:p>
    <w:p w:rsidR="00B023AB" w:rsidRPr="004627D4" w:rsidRDefault="00B023AB" w:rsidP="00075EB8">
      <w:pPr>
        <w:autoSpaceDE w:val="0"/>
        <w:autoSpaceDN w:val="0"/>
        <w:adjustRightInd w:val="0"/>
        <w:jc w:val="both"/>
        <w:rPr>
          <w:rStyle w:val="Strong"/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5738"/>
      </w:tblGrid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sz w:val="20"/>
                <w:szCs w:val="20"/>
              </w:rPr>
            </w:pPr>
            <w:r w:rsidRPr="004627D4">
              <w:rPr>
                <w:rStyle w:val="Strong"/>
                <w:sz w:val="20"/>
                <w:szCs w:val="20"/>
              </w:rPr>
              <w:t>Referencias Nacionais Para o Curso de Engenharia de Minas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sz w:val="20"/>
                <w:szCs w:val="20"/>
              </w:rPr>
            </w:pPr>
            <w:r w:rsidRPr="004627D4">
              <w:rPr>
                <w:rStyle w:val="Strong"/>
                <w:sz w:val="20"/>
                <w:szCs w:val="20"/>
              </w:rPr>
              <w:t xml:space="preserve">Diretrizes Curriculares Para os Cursos de Engenharia 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 xml:space="preserve">Geometria Analítica 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 xml:space="preserve">Matemática, nos conteúdos básicos: 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Desenho Técnico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Expressão gráfica, nos conteúdos básicos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Petrologia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Sem correspondência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Mecânica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Mecânica Aplicada, nos conteúdos profissionalizantes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Mineralogia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Mineralogia, nos conteúdos profissionalizantes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Solos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Sem correspondência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Topografia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Topografia e geodésia, nos conteúdos profissionalizantes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Tratamento de Minérios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Tratamento de minérios, nos conteúdos profissionalizantes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Elementos de Máquina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Sistemas Mecânicos, nos conteúdos profissionalizantes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Geologia Dinâmica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Sem correspondência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Geofísica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Sem correspondência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Estratigrafia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Sem correspondência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Topografia *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Topografia e geodésia, nos conteúdos profissionalizantes</w:t>
            </w:r>
          </w:p>
        </w:tc>
      </w:tr>
      <w:tr w:rsidR="00B023AB" w:rsidRPr="004627D4" w:rsidTr="001F2EA3">
        <w:trPr>
          <w:jc w:val="center"/>
        </w:trPr>
        <w:tc>
          <w:tcPr>
            <w:tcW w:w="2906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7D4">
              <w:rPr>
                <w:sz w:val="20"/>
                <w:szCs w:val="20"/>
              </w:rPr>
              <w:t>Lavra de Minas</w:t>
            </w:r>
          </w:p>
        </w:tc>
        <w:tc>
          <w:tcPr>
            <w:tcW w:w="5738" w:type="dxa"/>
          </w:tcPr>
          <w:p w:rsidR="00B023AB" w:rsidRPr="004627D4" w:rsidRDefault="00B023AB" w:rsidP="00EA0152">
            <w:pPr>
              <w:autoSpaceDE w:val="0"/>
              <w:autoSpaceDN w:val="0"/>
              <w:adjustRightInd w:val="0"/>
              <w:jc w:val="both"/>
              <w:rPr>
                <w:rStyle w:val="Strong"/>
                <w:b w:val="0"/>
                <w:sz w:val="20"/>
                <w:szCs w:val="20"/>
              </w:rPr>
            </w:pPr>
            <w:r w:rsidRPr="004627D4">
              <w:rPr>
                <w:rStyle w:val="Strong"/>
                <w:b w:val="0"/>
                <w:sz w:val="20"/>
                <w:szCs w:val="20"/>
              </w:rPr>
              <w:t>Sem correspondência</w:t>
            </w:r>
          </w:p>
        </w:tc>
      </w:tr>
    </w:tbl>
    <w:p w:rsidR="00B023AB" w:rsidRPr="00636650" w:rsidRDefault="00B023AB" w:rsidP="00636650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4627D4">
        <w:rPr>
          <w:rStyle w:val="Strong"/>
          <w:b w:val="0"/>
          <w:sz w:val="20"/>
          <w:szCs w:val="20"/>
        </w:rPr>
        <w:t>* Conteúdo repetido nos Referenciais Nacionais dos Cursos de Engen</w:t>
      </w:r>
      <w:r>
        <w:rPr>
          <w:rStyle w:val="Strong"/>
          <w:b w:val="0"/>
          <w:sz w:val="20"/>
          <w:szCs w:val="20"/>
        </w:rPr>
        <w:t>haria de Minas (fonte:</w:t>
      </w:r>
      <w:r w:rsidRPr="004627D4">
        <w:rPr>
          <w:rStyle w:val="Strong"/>
          <w:b w:val="0"/>
          <w:sz w:val="20"/>
          <w:szCs w:val="20"/>
        </w:rPr>
        <w:t xml:space="preserve"> MEC</w:t>
      </w:r>
      <w:r>
        <w:rPr>
          <w:rStyle w:val="Strong"/>
          <w:b w:val="0"/>
          <w:sz w:val="20"/>
          <w:szCs w:val="20"/>
        </w:rPr>
        <w:t>, 2009</w:t>
      </w:r>
      <w:r w:rsidRPr="004627D4">
        <w:rPr>
          <w:rStyle w:val="Strong"/>
          <w:b w:val="0"/>
          <w:sz w:val="20"/>
          <w:szCs w:val="20"/>
        </w:rPr>
        <w:t>)</w:t>
      </w:r>
    </w:p>
    <w:p w:rsidR="00B023AB" w:rsidRPr="004627D4" w:rsidRDefault="00B023AB" w:rsidP="00075EB8">
      <w:pPr>
        <w:autoSpaceDE w:val="0"/>
        <w:autoSpaceDN w:val="0"/>
        <w:adjustRightInd w:val="0"/>
        <w:jc w:val="both"/>
        <w:rPr>
          <w:rStyle w:val="Strong"/>
          <w:b w:val="0"/>
        </w:rPr>
      </w:pPr>
      <w:r w:rsidRPr="004627D4">
        <w:t xml:space="preserve">       </w:t>
      </w:r>
    </w:p>
    <w:p w:rsidR="00B023AB" w:rsidRPr="004627D4" w:rsidRDefault="00B023AB" w:rsidP="00075EB8">
      <w:pPr>
        <w:autoSpaceDE w:val="0"/>
        <w:autoSpaceDN w:val="0"/>
        <w:adjustRightInd w:val="0"/>
        <w:jc w:val="both"/>
        <w:rPr>
          <w:rStyle w:val="Strong"/>
        </w:rPr>
      </w:pPr>
      <w:r w:rsidRPr="004627D4">
        <w:rPr>
          <w:rStyle w:val="Strong"/>
        </w:rPr>
        <w:t>5. REFERÊNCIAS BIBLIOGRÁFICAS</w:t>
      </w:r>
    </w:p>
    <w:p w:rsidR="00B023AB" w:rsidRPr="004627D4" w:rsidRDefault="00B023AB" w:rsidP="00075EB8">
      <w:pPr>
        <w:autoSpaceDE w:val="0"/>
        <w:autoSpaceDN w:val="0"/>
        <w:adjustRightInd w:val="0"/>
        <w:jc w:val="both"/>
        <w:rPr>
          <w:rStyle w:val="Strong"/>
          <w:b w:val="0"/>
        </w:rPr>
      </w:pPr>
    </w:p>
    <w:p w:rsidR="00B023AB" w:rsidRPr="004627D4" w:rsidRDefault="00B023AB" w:rsidP="00A67FDC">
      <w:pPr>
        <w:autoSpaceDE w:val="0"/>
        <w:autoSpaceDN w:val="0"/>
        <w:adjustRightInd w:val="0"/>
        <w:jc w:val="both"/>
      </w:pPr>
      <w:r w:rsidRPr="004627D4">
        <w:t>ABENGE - Referenciais Nacionais dos Cursos de Engenharia</w:t>
      </w:r>
      <w:r w:rsidRPr="004627D4">
        <w:rPr>
          <w:rFonts w:ascii="Arial Narrow" w:hAnsi="Arial Narrow" w:cs="Arial"/>
          <w:sz w:val="32"/>
          <w:szCs w:val="32"/>
        </w:rPr>
        <w:t xml:space="preserve">. </w:t>
      </w:r>
      <w:r w:rsidRPr="004627D4">
        <w:t>Disponível em: &lt;</w:t>
      </w:r>
      <w:r>
        <w:t>http://</w:t>
      </w:r>
      <w:hyperlink r:id="rId6" w:history="1">
        <w:r w:rsidRPr="004627D4">
          <w:rPr>
            <w:rStyle w:val="Hyperlink"/>
            <w:color w:val="auto"/>
            <w:u w:val="none"/>
          </w:rPr>
          <w:t>www.abenge.org.br</w:t>
        </w:r>
      </w:hyperlink>
      <w:r w:rsidRPr="004627D4">
        <w:t>/ Notícias</w:t>
      </w:r>
      <w:r w:rsidRPr="004627D4">
        <w:rPr>
          <w:rStyle w:val="Emphasis"/>
          <w:b w:val="0"/>
        </w:rPr>
        <w:t>&gt;</w:t>
      </w:r>
      <w:r w:rsidRPr="004627D4">
        <w:t xml:space="preserve"> Acesso em 10 de junho de 2010</w:t>
      </w:r>
    </w:p>
    <w:p w:rsidR="00B023AB" w:rsidRPr="004627D4" w:rsidRDefault="00B023AB" w:rsidP="00A67FDC">
      <w:pPr>
        <w:autoSpaceDE w:val="0"/>
        <w:autoSpaceDN w:val="0"/>
        <w:adjustRightInd w:val="0"/>
        <w:jc w:val="both"/>
      </w:pPr>
      <w:r w:rsidRPr="004627D4">
        <w:t>CAPES Área de Avaliação: 60400005 – Arquitetura e Urbanismo. Disponível em: &lt;</w:t>
      </w:r>
      <w:hyperlink r:id="rId7" w:history="1">
        <w:r w:rsidRPr="004627D4">
          <w:rPr>
            <w:rStyle w:val="Hyperlink"/>
            <w:color w:val="auto"/>
          </w:rPr>
          <w:t>http://www.capes.gov.br/avaliacao/tabela-de-areas-de-conhecimento</w:t>
        </w:r>
      </w:hyperlink>
      <w:r w:rsidRPr="004627D4">
        <w:rPr>
          <w:rStyle w:val="Emphasis"/>
          <w:b w:val="0"/>
        </w:rPr>
        <w:t>&gt; Acesso em 14 de junho de 2010</w:t>
      </w:r>
    </w:p>
    <w:p w:rsidR="00B023AB" w:rsidRPr="004627D4" w:rsidRDefault="00B023AB" w:rsidP="00A67FDC">
      <w:pPr>
        <w:autoSpaceDE w:val="0"/>
        <w:autoSpaceDN w:val="0"/>
        <w:adjustRightInd w:val="0"/>
        <w:rPr>
          <w:bCs/>
        </w:rPr>
      </w:pPr>
      <w:r w:rsidRPr="004627D4">
        <w:rPr>
          <w:bCs/>
        </w:rPr>
        <w:t xml:space="preserve">CNE/CES Resolução 11, de 11 de março de 2002, </w:t>
      </w:r>
      <w:r w:rsidRPr="004627D4">
        <w:t>Institui Diretrizes Curriculares Nacionais do</w:t>
      </w:r>
      <w:r w:rsidRPr="004627D4">
        <w:rPr>
          <w:bCs/>
          <w:sz w:val="17"/>
          <w:szCs w:val="17"/>
        </w:rPr>
        <w:t xml:space="preserve"> </w:t>
      </w:r>
      <w:r w:rsidRPr="004627D4">
        <w:t>Curso de Graduação em Engenharia.Disponível em &lt;</w:t>
      </w:r>
      <w:hyperlink r:id="rId8" w:history="1">
        <w:r w:rsidRPr="004627D4">
          <w:rPr>
            <w:rStyle w:val="Hyperlink"/>
            <w:color w:val="auto"/>
          </w:rPr>
          <w:t>http://portal.mec.gov.br/cne/arquivos/pdf/CES112002.pdf</w:t>
        </w:r>
        <w:r w:rsidRPr="004627D4">
          <w:rPr>
            <w:rStyle w:val="Emphasis"/>
            <w:b w:val="0"/>
          </w:rPr>
          <w:t>&gt;</w:t>
        </w:r>
        <w:r w:rsidRPr="004627D4">
          <w:rPr>
            <w:rStyle w:val="Hyperlink"/>
            <w:color w:val="auto"/>
          </w:rPr>
          <w:t xml:space="preserve"> </w:t>
        </w:r>
      </w:hyperlink>
      <w:r w:rsidRPr="004627D4">
        <w:rPr>
          <w:rStyle w:val="Emphasis"/>
          <w:b w:val="0"/>
        </w:rPr>
        <w:t xml:space="preserve"> Acesso em 10 de junho de 2010</w:t>
      </w:r>
    </w:p>
    <w:p w:rsidR="00B023AB" w:rsidRPr="004627D4" w:rsidRDefault="00B023AB" w:rsidP="00A67FDC">
      <w:pPr>
        <w:autoSpaceDE w:val="0"/>
        <w:autoSpaceDN w:val="0"/>
        <w:adjustRightInd w:val="0"/>
        <w:rPr>
          <w:rStyle w:val="Strong"/>
          <w:b w:val="0"/>
        </w:rPr>
      </w:pPr>
      <w:r w:rsidRPr="004627D4">
        <w:t xml:space="preserve">CNE/CES </w:t>
      </w:r>
      <w:r w:rsidRPr="004627D4">
        <w:rPr>
          <w:bCs/>
        </w:rPr>
        <w:t>Resolução</w:t>
      </w:r>
      <w:r w:rsidRPr="004627D4">
        <w:rPr>
          <w:b/>
          <w:bCs/>
        </w:rPr>
        <w:t xml:space="preserve"> </w:t>
      </w:r>
      <w:r w:rsidRPr="004627D4">
        <w:rPr>
          <w:bCs/>
        </w:rPr>
        <w:t>Nº 2, de 18 de junho de 2007</w:t>
      </w:r>
      <w:r>
        <w:rPr>
          <w:bCs/>
        </w:rPr>
        <w:t>.</w:t>
      </w:r>
      <w:r w:rsidRPr="004627D4">
        <w:rPr>
          <w:b/>
          <w:bCs/>
        </w:rPr>
        <w:t xml:space="preserve"> </w:t>
      </w:r>
      <w:r w:rsidRPr="004627D4">
        <w:rPr>
          <w:iCs/>
        </w:rPr>
        <w:t xml:space="preserve">Disponível em: </w:t>
      </w:r>
      <w:r w:rsidRPr="004627D4">
        <w:t>&lt;</w:t>
      </w:r>
      <w:hyperlink r:id="rId9" w:history="1">
        <w:r w:rsidRPr="004627D4">
          <w:rPr>
            <w:rStyle w:val="Hyperlink"/>
            <w:iCs/>
            <w:color w:val="auto"/>
          </w:rPr>
          <w:t>http://portal.mec.gov.br/cne/arquivos/pdf/2007/rces002_07.pdf</w:t>
        </w:r>
      </w:hyperlink>
      <w:r w:rsidRPr="0007058B">
        <w:t>&gt;</w:t>
      </w:r>
      <w:r w:rsidRPr="004627D4">
        <w:rPr>
          <w:rStyle w:val="Emphasis"/>
          <w:b w:val="0"/>
        </w:rPr>
        <w:t xml:space="preserve"> Acesso em 10 de junho de 2010</w:t>
      </w:r>
      <w:r w:rsidRPr="004627D4">
        <w:rPr>
          <w:rStyle w:val="Strong"/>
          <w:b w:val="0"/>
        </w:rPr>
        <w:t xml:space="preserve"> </w:t>
      </w:r>
    </w:p>
    <w:p w:rsidR="00B023AB" w:rsidRPr="004627D4" w:rsidRDefault="00B023AB" w:rsidP="00A67FDC">
      <w:pPr>
        <w:autoSpaceDE w:val="0"/>
        <w:autoSpaceDN w:val="0"/>
        <w:adjustRightInd w:val="0"/>
        <w:rPr>
          <w:rStyle w:val="Emphasis"/>
          <w:b w:val="0"/>
        </w:rPr>
      </w:pPr>
      <w:r w:rsidRPr="004627D4">
        <w:rPr>
          <w:rStyle w:val="Emphasis"/>
          <w:b w:val="0"/>
          <w:bCs w:val="0"/>
        </w:rPr>
        <w:t>CNPq</w:t>
      </w:r>
      <w:r w:rsidRPr="004627D4">
        <w:rPr>
          <w:rStyle w:val="Emphasis"/>
          <w:bCs w:val="0"/>
        </w:rPr>
        <w:t xml:space="preserve"> </w:t>
      </w:r>
      <w:r>
        <w:rPr>
          <w:rStyle w:val="Emphasis"/>
          <w:b w:val="0"/>
        </w:rPr>
        <w:t>Áreas do Conhecimento.</w:t>
      </w:r>
      <w:r w:rsidRPr="004627D4">
        <w:rPr>
          <w:rStyle w:val="Emphasis"/>
          <w:b w:val="0"/>
        </w:rPr>
        <w:t xml:space="preserve"> </w:t>
      </w:r>
      <w:r>
        <w:rPr>
          <w:rStyle w:val="Emphasis"/>
          <w:b w:val="0"/>
        </w:rPr>
        <w:t>D</w:t>
      </w:r>
      <w:r w:rsidRPr="004627D4">
        <w:rPr>
          <w:rStyle w:val="Emphasis"/>
          <w:b w:val="0"/>
        </w:rPr>
        <w:t>isponível em:</w:t>
      </w:r>
      <w:r>
        <w:t xml:space="preserve"> </w:t>
      </w:r>
      <w:r w:rsidRPr="0007058B">
        <w:rPr>
          <w:sz w:val="22"/>
          <w:szCs w:val="22"/>
        </w:rPr>
        <w:t>&lt;</w:t>
      </w:r>
      <w:hyperlink r:id="rId10" w:history="1">
        <w:r w:rsidRPr="0007058B">
          <w:rPr>
            <w:rStyle w:val="Hyperlink"/>
            <w:color w:val="auto"/>
            <w:sz w:val="22"/>
            <w:szCs w:val="22"/>
          </w:rPr>
          <w:t>http://www.cnpq.br/areasconhecimento/index.htm</w:t>
        </w:r>
      </w:hyperlink>
      <w:r w:rsidRPr="0007058B">
        <w:rPr>
          <w:rStyle w:val="Emphasis"/>
          <w:b w:val="0"/>
          <w:sz w:val="22"/>
          <w:szCs w:val="22"/>
        </w:rPr>
        <w:t>&gt;</w:t>
      </w:r>
      <w:r w:rsidRPr="004627D4">
        <w:rPr>
          <w:rStyle w:val="Emphasis"/>
          <w:b w:val="0"/>
        </w:rPr>
        <w:t xml:space="preserve"> Acesso em 14 de junho de 2010</w:t>
      </w:r>
    </w:p>
    <w:p w:rsidR="00B023AB" w:rsidRPr="004627D4" w:rsidRDefault="00B023AB" w:rsidP="00A67FDC">
      <w:pPr>
        <w:autoSpaceDE w:val="0"/>
        <w:autoSpaceDN w:val="0"/>
        <w:adjustRightInd w:val="0"/>
        <w:jc w:val="both"/>
      </w:pPr>
      <w:r w:rsidRPr="004627D4">
        <w:rPr>
          <w:rStyle w:val="Strong"/>
          <w:b w:val="0"/>
        </w:rPr>
        <w:t>TIBÚRCIO, T.</w:t>
      </w:r>
      <w:r w:rsidRPr="004627D4">
        <w:rPr>
          <w:rFonts w:ascii="Arial Narrow" w:hAnsi="Arial Narrow" w:cs="Arial"/>
          <w:sz w:val="32"/>
          <w:szCs w:val="32"/>
        </w:rPr>
        <w:t xml:space="preserve"> </w:t>
      </w:r>
      <w:r w:rsidRPr="004627D4">
        <w:t>MEC propõe reduzir para 22 as denominações de cursos de Engenharia. Disponível em: &lt;</w:t>
      </w:r>
      <w:r w:rsidRPr="00636650">
        <w:rPr>
          <w:u w:val="single"/>
        </w:rPr>
        <w:t>http://</w:t>
      </w:r>
      <w:hyperlink r:id="rId11" w:history="1">
        <w:r w:rsidRPr="004627D4">
          <w:rPr>
            <w:rStyle w:val="Hyperlink"/>
            <w:color w:val="auto"/>
          </w:rPr>
          <w:t>www.abenge.org.br/notícias</w:t>
        </w:r>
      </w:hyperlink>
      <w:r w:rsidRPr="004627D4">
        <w:rPr>
          <w:rStyle w:val="Emphasis"/>
          <w:b w:val="0"/>
        </w:rPr>
        <w:t>&gt;</w:t>
      </w:r>
      <w:r w:rsidRPr="004627D4">
        <w:t xml:space="preserve"> Acesso em 10 de junho de 2010.</w:t>
      </w:r>
    </w:p>
    <w:p w:rsidR="00B023AB" w:rsidRDefault="00B023AB" w:rsidP="00A67FDC">
      <w:pPr>
        <w:autoSpaceDE w:val="0"/>
        <w:autoSpaceDN w:val="0"/>
        <w:adjustRightInd w:val="0"/>
        <w:rPr>
          <w:iCs/>
        </w:rPr>
      </w:pPr>
    </w:p>
    <w:p w:rsidR="00B023AB" w:rsidRDefault="00B023AB" w:rsidP="00DD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REFERENCES FOR ENGINERING EDUCATION VERSUS THE CURRENT LEGISLATION</w:t>
      </w:r>
    </w:p>
    <w:p w:rsidR="00B023AB" w:rsidRDefault="00B023AB" w:rsidP="00A67FDC">
      <w:pPr>
        <w:autoSpaceDE w:val="0"/>
        <w:autoSpaceDN w:val="0"/>
        <w:adjustRightInd w:val="0"/>
        <w:rPr>
          <w:iCs/>
        </w:rPr>
      </w:pPr>
    </w:p>
    <w:p w:rsidR="00B023AB" w:rsidRPr="00AB0E0B" w:rsidRDefault="00B023AB" w:rsidP="000F61D3">
      <w:pPr>
        <w:jc w:val="both"/>
        <w:rPr>
          <w:lang w:val="en-US"/>
        </w:rPr>
      </w:pPr>
      <w:r w:rsidRPr="00EF00B2">
        <w:rPr>
          <w:b/>
          <w:i/>
          <w:lang w:val="en-US"/>
        </w:rPr>
        <w:t xml:space="preserve">Abstract: </w:t>
      </w:r>
      <w:r w:rsidRPr="00EF00B2">
        <w:rPr>
          <w:lang w:val="en-US"/>
        </w:rPr>
        <w:t>this paper compare</w:t>
      </w:r>
      <w:r>
        <w:rPr>
          <w:lang w:val="en-US"/>
        </w:rPr>
        <w:t>s</w:t>
      </w:r>
      <w:r w:rsidRPr="00EF00B2">
        <w:rPr>
          <w:lang w:val="en-US"/>
        </w:rPr>
        <w:t xml:space="preserve"> the </w:t>
      </w:r>
      <w:r>
        <w:rPr>
          <w:lang w:val="en-US"/>
        </w:rPr>
        <w:t>current</w:t>
      </w:r>
      <w:r w:rsidRPr="00EF00B2">
        <w:rPr>
          <w:lang w:val="en-US"/>
        </w:rPr>
        <w:t xml:space="preserve"> </w:t>
      </w:r>
      <w:r>
        <w:rPr>
          <w:lang w:val="en-US"/>
        </w:rPr>
        <w:t>B</w:t>
      </w:r>
      <w:r w:rsidRPr="00EF00B2">
        <w:rPr>
          <w:lang w:val="en-US"/>
        </w:rPr>
        <w:t xml:space="preserve">razilian </w:t>
      </w:r>
      <w:r>
        <w:rPr>
          <w:lang w:val="en-US"/>
        </w:rPr>
        <w:t>legislation</w:t>
      </w:r>
      <w:r w:rsidRPr="00EF00B2">
        <w:rPr>
          <w:lang w:val="en-US"/>
        </w:rPr>
        <w:t xml:space="preserve"> for undergraduate engineering courses and the </w:t>
      </w:r>
      <w:r>
        <w:rPr>
          <w:lang w:val="en-US"/>
        </w:rPr>
        <w:t xml:space="preserve">National </w:t>
      </w:r>
      <w:r w:rsidRPr="00EF00B2">
        <w:rPr>
          <w:lang w:val="en-US"/>
        </w:rPr>
        <w:t xml:space="preserve">References for </w:t>
      </w:r>
      <w:r>
        <w:rPr>
          <w:lang w:val="en-US"/>
        </w:rPr>
        <w:t xml:space="preserve">Undergraduate </w:t>
      </w:r>
      <w:r w:rsidRPr="00EF00B2">
        <w:rPr>
          <w:lang w:val="en-US"/>
        </w:rPr>
        <w:t>Engineering Courses,</w:t>
      </w:r>
      <w:r>
        <w:rPr>
          <w:lang w:val="en-US"/>
        </w:rPr>
        <w:t xml:space="preserve"> a new project proposed by the Ministry of Education – MEC, in 2009, in order to verify that they do not interfere</w:t>
      </w:r>
      <w:r w:rsidRPr="00EF00B2">
        <w:rPr>
          <w:lang w:val="en-US"/>
        </w:rPr>
        <w:t xml:space="preserve"> </w:t>
      </w:r>
      <w:r>
        <w:rPr>
          <w:lang w:val="en-US"/>
        </w:rPr>
        <w:t xml:space="preserve">with the current legislation, as postulated by MEC. The analysis showed that the National </w:t>
      </w:r>
      <w:r w:rsidRPr="00EF00B2">
        <w:rPr>
          <w:lang w:val="en-US"/>
        </w:rPr>
        <w:t xml:space="preserve">References for </w:t>
      </w:r>
      <w:r>
        <w:rPr>
          <w:lang w:val="en-US"/>
        </w:rPr>
        <w:t xml:space="preserve">Undergraduate </w:t>
      </w:r>
      <w:r w:rsidRPr="00EF00B2">
        <w:rPr>
          <w:lang w:val="en-US"/>
        </w:rPr>
        <w:t>Engineering Courses</w:t>
      </w:r>
      <w:r>
        <w:rPr>
          <w:lang w:val="en-US"/>
        </w:rPr>
        <w:t xml:space="preserve"> diverge and interfere with the current</w:t>
      </w:r>
      <w:r w:rsidRPr="00EF00B2">
        <w:rPr>
          <w:lang w:val="en-US"/>
        </w:rPr>
        <w:t xml:space="preserve"> legislat</w:t>
      </w:r>
      <w:r>
        <w:rPr>
          <w:lang w:val="en-US"/>
        </w:rPr>
        <w:t>i</w:t>
      </w:r>
      <w:r w:rsidRPr="00EF00B2">
        <w:rPr>
          <w:lang w:val="en-US"/>
        </w:rPr>
        <w:t xml:space="preserve">on. </w:t>
      </w:r>
      <w:r>
        <w:rPr>
          <w:lang w:val="en-US"/>
        </w:rPr>
        <w:t xml:space="preserve">Application of National References to </w:t>
      </w:r>
      <w:r w:rsidRPr="00FC0926">
        <w:rPr>
          <w:lang w:val="en-US"/>
        </w:rPr>
        <w:t xml:space="preserve">the </w:t>
      </w:r>
      <w:r>
        <w:rPr>
          <w:lang w:val="en-US"/>
        </w:rPr>
        <w:t>mining e</w:t>
      </w:r>
      <w:r w:rsidRPr="00FC0926">
        <w:rPr>
          <w:lang w:val="en-US"/>
        </w:rPr>
        <w:t xml:space="preserve">ngineering </w:t>
      </w:r>
      <w:r>
        <w:rPr>
          <w:lang w:val="en-US"/>
        </w:rPr>
        <w:t>c</w:t>
      </w:r>
      <w:r w:rsidRPr="00FC0926">
        <w:rPr>
          <w:lang w:val="en-US"/>
        </w:rPr>
        <w:t>ourse</w:t>
      </w:r>
      <w:r>
        <w:rPr>
          <w:lang w:val="en-US"/>
        </w:rPr>
        <w:t xml:space="preserve"> has confirmed this conclusion.</w:t>
      </w:r>
      <w:r w:rsidRPr="00AB0E0B">
        <w:rPr>
          <w:lang w:val="en-US"/>
        </w:rPr>
        <w:t xml:space="preserve"> </w:t>
      </w:r>
    </w:p>
    <w:p w:rsidR="00B023AB" w:rsidRPr="00AB0E0B" w:rsidRDefault="00B023AB" w:rsidP="000F61D3">
      <w:pPr>
        <w:rPr>
          <w:b/>
          <w:i/>
          <w:lang w:val="en-US"/>
        </w:rPr>
      </w:pPr>
    </w:p>
    <w:p w:rsidR="00B023AB" w:rsidRPr="00AB0E0B" w:rsidRDefault="00B023AB" w:rsidP="000F61D3">
      <w:pPr>
        <w:rPr>
          <w:lang w:val="en-US"/>
        </w:rPr>
      </w:pPr>
      <w:r w:rsidRPr="00AB0E0B">
        <w:rPr>
          <w:b/>
          <w:i/>
          <w:lang w:val="en-US"/>
        </w:rPr>
        <w:t>Key Words:</w:t>
      </w:r>
      <w:r w:rsidRPr="00AB0E0B">
        <w:rPr>
          <w:lang w:val="en-US"/>
        </w:rPr>
        <w:t xml:space="preserve"> Brazilian Regulations for Undergraduate Engineering Courses</w:t>
      </w:r>
      <w:r>
        <w:rPr>
          <w:lang w:val="en-US"/>
        </w:rPr>
        <w:t xml:space="preserve">, Mining Engineering Curriculum, National References for Engineering Courses. </w:t>
      </w:r>
    </w:p>
    <w:sectPr w:rsidR="00B023AB" w:rsidRPr="00AB0E0B" w:rsidSect="00B164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1DA"/>
    <w:multiLevelType w:val="hybridMultilevel"/>
    <w:tmpl w:val="86829608"/>
    <w:lvl w:ilvl="0" w:tplc="BDF03F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030E7F"/>
    <w:multiLevelType w:val="hybridMultilevel"/>
    <w:tmpl w:val="91085578"/>
    <w:lvl w:ilvl="0" w:tplc="BDF03FD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F3561CC"/>
    <w:multiLevelType w:val="hybridMultilevel"/>
    <w:tmpl w:val="095ED9DA"/>
    <w:lvl w:ilvl="0" w:tplc="BDF03F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741"/>
    <w:rsid w:val="00052D84"/>
    <w:rsid w:val="00064A2E"/>
    <w:rsid w:val="0007058B"/>
    <w:rsid w:val="0007365B"/>
    <w:rsid w:val="00073AE6"/>
    <w:rsid w:val="00075EB8"/>
    <w:rsid w:val="00084E0F"/>
    <w:rsid w:val="00087802"/>
    <w:rsid w:val="000901F2"/>
    <w:rsid w:val="000A05B8"/>
    <w:rsid w:val="000A374F"/>
    <w:rsid w:val="000B00CA"/>
    <w:rsid w:val="000B4679"/>
    <w:rsid w:val="000C77CD"/>
    <w:rsid w:val="000D2164"/>
    <w:rsid w:val="000D2C6E"/>
    <w:rsid w:val="000F61D3"/>
    <w:rsid w:val="0010790A"/>
    <w:rsid w:val="00110317"/>
    <w:rsid w:val="0011285F"/>
    <w:rsid w:val="00112964"/>
    <w:rsid w:val="00152273"/>
    <w:rsid w:val="0015796E"/>
    <w:rsid w:val="00165274"/>
    <w:rsid w:val="00177D6D"/>
    <w:rsid w:val="00177F7C"/>
    <w:rsid w:val="001807A4"/>
    <w:rsid w:val="001860F8"/>
    <w:rsid w:val="00197432"/>
    <w:rsid w:val="001C2653"/>
    <w:rsid w:val="001D14B3"/>
    <w:rsid w:val="001E0642"/>
    <w:rsid w:val="001E2AF1"/>
    <w:rsid w:val="001E516C"/>
    <w:rsid w:val="001F2EA3"/>
    <w:rsid w:val="00213CE0"/>
    <w:rsid w:val="00223430"/>
    <w:rsid w:val="00223F09"/>
    <w:rsid w:val="00232CD6"/>
    <w:rsid w:val="00264AC4"/>
    <w:rsid w:val="002B2E3E"/>
    <w:rsid w:val="002B7274"/>
    <w:rsid w:val="002D15E5"/>
    <w:rsid w:val="002D50A7"/>
    <w:rsid w:val="002E561E"/>
    <w:rsid w:val="002E6345"/>
    <w:rsid w:val="0030346F"/>
    <w:rsid w:val="00326F62"/>
    <w:rsid w:val="003304B4"/>
    <w:rsid w:val="00365120"/>
    <w:rsid w:val="0039719B"/>
    <w:rsid w:val="003C03E2"/>
    <w:rsid w:val="003C0D94"/>
    <w:rsid w:val="003C40CD"/>
    <w:rsid w:val="003F041E"/>
    <w:rsid w:val="003F13D9"/>
    <w:rsid w:val="004126F0"/>
    <w:rsid w:val="004167D0"/>
    <w:rsid w:val="00420037"/>
    <w:rsid w:val="00432463"/>
    <w:rsid w:val="0044354B"/>
    <w:rsid w:val="00453295"/>
    <w:rsid w:val="004627D4"/>
    <w:rsid w:val="004705B3"/>
    <w:rsid w:val="004730D7"/>
    <w:rsid w:val="004764E6"/>
    <w:rsid w:val="00482CC7"/>
    <w:rsid w:val="00496DB9"/>
    <w:rsid w:val="004A5F35"/>
    <w:rsid w:val="004B2329"/>
    <w:rsid w:val="004F48C6"/>
    <w:rsid w:val="005042F6"/>
    <w:rsid w:val="00507789"/>
    <w:rsid w:val="00522AE6"/>
    <w:rsid w:val="00525839"/>
    <w:rsid w:val="00552D55"/>
    <w:rsid w:val="005536F0"/>
    <w:rsid w:val="0056458E"/>
    <w:rsid w:val="00582E59"/>
    <w:rsid w:val="00590379"/>
    <w:rsid w:val="005A2DAD"/>
    <w:rsid w:val="005B1781"/>
    <w:rsid w:val="005B180F"/>
    <w:rsid w:val="005B2D62"/>
    <w:rsid w:val="005C48FD"/>
    <w:rsid w:val="005C58D2"/>
    <w:rsid w:val="005D3D15"/>
    <w:rsid w:val="005D4A52"/>
    <w:rsid w:val="005F1239"/>
    <w:rsid w:val="0060079B"/>
    <w:rsid w:val="00601957"/>
    <w:rsid w:val="00613357"/>
    <w:rsid w:val="00615188"/>
    <w:rsid w:val="00617B6B"/>
    <w:rsid w:val="0063374A"/>
    <w:rsid w:val="00636650"/>
    <w:rsid w:val="00643EA6"/>
    <w:rsid w:val="00647E44"/>
    <w:rsid w:val="00680E01"/>
    <w:rsid w:val="00687DB2"/>
    <w:rsid w:val="006A5EAC"/>
    <w:rsid w:val="006D4FEB"/>
    <w:rsid w:val="00724296"/>
    <w:rsid w:val="00754574"/>
    <w:rsid w:val="007674B3"/>
    <w:rsid w:val="007748CC"/>
    <w:rsid w:val="00787C95"/>
    <w:rsid w:val="00787D78"/>
    <w:rsid w:val="007B6718"/>
    <w:rsid w:val="007C4324"/>
    <w:rsid w:val="007D7A99"/>
    <w:rsid w:val="007E2A21"/>
    <w:rsid w:val="007E5DE2"/>
    <w:rsid w:val="007F4F4E"/>
    <w:rsid w:val="00806C08"/>
    <w:rsid w:val="00810F15"/>
    <w:rsid w:val="00816534"/>
    <w:rsid w:val="00832B21"/>
    <w:rsid w:val="00844A40"/>
    <w:rsid w:val="00853096"/>
    <w:rsid w:val="0085783C"/>
    <w:rsid w:val="008603E9"/>
    <w:rsid w:val="00871B56"/>
    <w:rsid w:val="008776EA"/>
    <w:rsid w:val="008A4C5F"/>
    <w:rsid w:val="008C6B3F"/>
    <w:rsid w:val="008E7CCE"/>
    <w:rsid w:val="008F3CA4"/>
    <w:rsid w:val="00905C48"/>
    <w:rsid w:val="00966D9F"/>
    <w:rsid w:val="009706A9"/>
    <w:rsid w:val="00991D39"/>
    <w:rsid w:val="009A36E7"/>
    <w:rsid w:val="009C10A9"/>
    <w:rsid w:val="009D4336"/>
    <w:rsid w:val="009E46A4"/>
    <w:rsid w:val="009E49A0"/>
    <w:rsid w:val="009E5F23"/>
    <w:rsid w:val="00A11C90"/>
    <w:rsid w:val="00A14463"/>
    <w:rsid w:val="00A17749"/>
    <w:rsid w:val="00A33437"/>
    <w:rsid w:val="00A3381F"/>
    <w:rsid w:val="00A67B26"/>
    <w:rsid w:val="00A67FDC"/>
    <w:rsid w:val="00A73467"/>
    <w:rsid w:val="00A74C26"/>
    <w:rsid w:val="00A90A0F"/>
    <w:rsid w:val="00AA2518"/>
    <w:rsid w:val="00AB04B9"/>
    <w:rsid w:val="00AB0E0B"/>
    <w:rsid w:val="00AB2CBF"/>
    <w:rsid w:val="00AB30FD"/>
    <w:rsid w:val="00AE0901"/>
    <w:rsid w:val="00AE669A"/>
    <w:rsid w:val="00AF2D12"/>
    <w:rsid w:val="00B023AB"/>
    <w:rsid w:val="00B13F49"/>
    <w:rsid w:val="00B16441"/>
    <w:rsid w:val="00B33BFE"/>
    <w:rsid w:val="00B42C73"/>
    <w:rsid w:val="00B51D61"/>
    <w:rsid w:val="00B66E5F"/>
    <w:rsid w:val="00B8730B"/>
    <w:rsid w:val="00BA477C"/>
    <w:rsid w:val="00BB68C3"/>
    <w:rsid w:val="00BC7955"/>
    <w:rsid w:val="00BD3162"/>
    <w:rsid w:val="00BE6969"/>
    <w:rsid w:val="00C12B3C"/>
    <w:rsid w:val="00C2653F"/>
    <w:rsid w:val="00C30CD7"/>
    <w:rsid w:val="00C340B9"/>
    <w:rsid w:val="00C35286"/>
    <w:rsid w:val="00C37697"/>
    <w:rsid w:val="00C4176C"/>
    <w:rsid w:val="00C73F2B"/>
    <w:rsid w:val="00C8173A"/>
    <w:rsid w:val="00C974C4"/>
    <w:rsid w:val="00CA31F2"/>
    <w:rsid w:val="00CA529E"/>
    <w:rsid w:val="00CB6A81"/>
    <w:rsid w:val="00CC3A18"/>
    <w:rsid w:val="00CD50D8"/>
    <w:rsid w:val="00CD79AD"/>
    <w:rsid w:val="00CE3853"/>
    <w:rsid w:val="00CF064F"/>
    <w:rsid w:val="00CF0659"/>
    <w:rsid w:val="00D02958"/>
    <w:rsid w:val="00D13447"/>
    <w:rsid w:val="00D16863"/>
    <w:rsid w:val="00D30A9B"/>
    <w:rsid w:val="00D31CF0"/>
    <w:rsid w:val="00D567BD"/>
    <w:rsid w:val="00D64B3E"/>
    <w:rsid w:val="00D708AF"/>
    <w:rsid w:val="00D82C7C"/>
    <w:rsid w:val="00D82F4B"/>
    <w:rsid w:val="00DA0009"/>
    <w:rsid w:val="00DA1E5F"/>
    <w:rsid w:val="00DD08C0"/>
    <w:rsid w:val="00DD31F8"/>
    <w:rsid w:val="00DD5E6A"/>
    <w:rsid w:val="00DE4AF6"/>
    <w:rsid w:val="00DF017B"/>
    <w:rsid w:val="00DF15B0"/>
    <w:rsid w:val="00DF5842"/>
    <w:rsid w:val="00E0418F"/>
    <w:rsid w:val="00E20689"/>
    <w:rsid w:val="00E26D69"/>
    <w:rsid w:val="00E3763D"/>
    <w:rsid w:val="00E40A19"/>
    <w:rsid w:val="00E52D25"/>
    <w:rsid w:val="00E546FC"/>
    <w:rsid w:val="00E6160A"/>
    <w:rsid w:val="00E80872"/>
    <w:rsid w:val="00E92FC2"/>
    <w:rsid w:val="00E97DD8"/>
    <w:rsid w:val="00EA0152"/>
    <w:rsid w:val="00EA406F"/>
    <w:rsid w:val="00EA526D"/>
    <w:rsid w:val="00EA76C4"/>
    <w:rsid w:val="00EA79F6"/>
    <w:rsid w:val="00EC59FD"/>
    <w:rsid w:val="00EC6CC5"/>
    <w:rsid w:val="00ED3908"/>
    <w:rsid w:val="00EE3412"/>
    <w:rsid w:val="00EF00B2"/>
    <w:rsid w:val="00F02F07"/>
    <w:rsid w:val="00F26647"/>
    <w:rsid w:val="00F301CC"/>
    <w:rsid w:val="00F305E4"/>
    <w:rsid w:val="00F407BB"/>
    <w:rsid w:val="00F45959"/>
    <w:rsid w:val="00F5044E"/>
    <w:rsid w:val="00F64741"/>
    <w:rsid w:val="00F657B6"/>
    <w:rsid w:val="00F7236A"/>
    <w:rsid w:val="00F804C5"/>
    <w:rsid w:val="00F90FA4"/>
    <w:rsid w:val="00F945FD"/>
    <w:rsid w:val="00FA7643"/>
    <w:rsid w:val="00FB0DC6"/>
    <w:rsid w:val="00FC0926"/>
    <w:rsid w:val="00FC3D72"/>
    <w:rsid w:val="00FC6FFA"/>
    <w:rsid w:val="00FF181C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B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D79AD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1D39"/>
    <w:rPr>
      <w:rFonts w:ascii="Cambria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8F3CA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75EB8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129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12964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CD79AD"/>
    <w:rPr>
      <w:rFonts w:cs="Times New Roman"/>
      <w:i/>
      <w:iCs/>
    </w:rPr>
  </w:style>
  <w:style w:type="character" w:styleId="Emphasis">
    <w:name w:val="Emphasis"/>
    <w:basedOn w:val="DefaultParagraphFont"/>
    <w:uiPriority w:val="99"/>
    <w:qFormat/>
    <w:locked/>
    <w:rsid w:val="00CD79AD"/>
    <w:rPr>
      <w:rFonts w:cs="Times New Roman"/>
      <w:b/>
      <w:bCs/>
    </w:rPr>
  </w:style>
  <w:style w:type="paragraph" w:customStyle="1" w:styleId="Estilo1">
    <w:name w:val="Estilo1"/>
    <w:basedOn w:val="Normal"/>
    <w:uiPriority w:val="99"/>
    <w:rsid w:val="00C35286"/>
    <w:rPr>
      <w:rFonts w:ascii="Univers (WN)" w:hAnsi="Univers (WN)"/>
      <w:b/>
      <w:szCs w:val="20"/>
      <w:vertAlign w:val="subscript"/>
    </w:rPr>
  </w:style>
  <w:style w:type="paragraph" w:customStyle="1" w:styleId="Default">
    <w:name w:val="Default"/>
    <w:uiPriority w:val="99"/>
    <w:rsid w:val="004B2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8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8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cne/arquivos/pdf/CES112002.pdf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pes.gov.br/avaliacao/tabela-de-areas-de-conheciment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enge.org.br" TargetMode="External"/><Relationship Id="rId11" Type="http://schemas.openxmlformats.org/officeDocument/2006/relationships/hyperlink" Target="http://www.abenge.org.br/not&#237;cias" TargetMode="External"/><Relationship Id="rId5" Type="http://schemas.openxmlformats.org/officeDocument/2006/relationships/hyperlink" Target="mailto:gazzisalum@hotmail.com" TargetMode="External"/><Relationship Id="rId10" Type="http://schemas.openxmlformats.org/officeDocument/2006/relationships/hyperlink" Target="http://www.cnpq.br/areasconhecimento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.mec.gov.br/cne/arquivos/pdf/2007/rces002_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266</TotalTime>
  <Pages>5</Pages>
  <Words>2801</Words>
  <Characters>15131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Conselho Nacional de Educação/Câmara de Educação Superior, por meio da Resolução CNE/CES 11, de 11 de março de 2002, instituiu as Diretrizes Curriculares Nacionais do Curso de Graduação em Engenharia, cujo objetivo básico foi orientar os cursos de grad</dc:title>
  <dc:subject/>
  <dc:creator>SALUM</dc:creator>
  <cp:keywords/>
  <dc:description/>
  <cp:lastModifiedBy>SALUM</cp:lastModifiedBy>
  <cp:revision>17</cp:revision>
  <dcterms:created xsi:type="dcterms:W3CDTF">2010-06-18T13:32:00Z</dcterms:created>
  <dcterms:modified xsi:type="dcterms:W3CDTF">2010-06-21T17:48:00Z</dcterms:modified>
</cp:coreProperties>
</file>