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C06" w:rsidRPr="00654A0B" w:rsidRDefault="006A0C06" w:rsidP="00A839A8">
      <w:pPr>
        <w:spacing w:line="360" w:lineRule="auto"/>
        <w:jc w:val="center"/>
        <w:rPr>
          <w:rFonts w:cs="Arial"/>
          <w:b/>
          <w:sz w:val="28"/>
          <w:szCs w:val="28"/>
        </w:rPr>
      </w:pPr>
      <w:r w:rsidRPr="00654A0B">
        <w:rPr>
          <w:rFonts w:cs="Arial"/>
          <w:b/>
          <w:sz w:val="28"/>
          <w:szCs w:val="28"/>
        </w:rPr>
        <w:t xml:space="preserve">ENSAIO DE VAZÃO </w:t>
      </w:r>
      <w:smartTag w:uri="urn:schemas-microsoft-com:office:smarttags" w:element="PersonName">
        <w:smartTagPr>
          <w:attr w:name="ProductID" w:val="EM BICO INJETOR AUTOMOBILISTICO"/>
        </w:smartTagPr>
        <w:smartTag w:uri="urn:schemas-microsoft-com:office:smarttags" w:element="PersonName">
          <w:smartTagPr>
            <w:attr w:name="ProductID" w:val="EM BICO INJETOR"/>
          </w:smartTagPr>
          <w:r w:rsidRPr="00654A0B">
            <w:rPr>
              <w:rFonts w:cs="Arial"/>
              <w:b/>
              <w:sz w:val="28"/>
              <w:szCs w:val="28"/>
            </w:rPr>
            <w:t>EM BICO INJETOR</w:t>
          </w:r>
        </w:smartTag>
        <w:r w:rsidRPr="00654A0B">
          <w:rPr>
            <w:rFonts w:cs="Arial"/>
            <w:b/>
            <w:sz w:val="28"/>
            <w:szCs w:val="28"/>
          </w:rPr>
          <w:t xml:space="preserve"> AUTOMOBILISTICO</w:t>
        </w:r>
      </w:smartTag>
    </w:p>
    <w:p w:rsidR="006A0C06" w:rsidRDefault="006A0C06" w:rsidP="0012145E">
      <w:pPr>
        <w:jc w:val="both"/>
      </w:pPr>
    </w:p>
    <w:p w:rsidR="006A0C06" w:rsidRDefault="006A0C06" w:rsidP="0012145E">
      <w:pPr>
        <w:jc w:val="both"/>
      </w:pPr>
    </w:p>
    <w:p w:rsidR="006A0C06" w:rsidRDefault="006A0C06" w:rsidP="0012145E">
      <w:pPr>
        <w:jc w:val="both"/>
      </w:pPr>
    </w:p>
    <w:p w:rsidR="006A0C06" w:rsidRDefault="006A0C06" w:rsidP="0012145E">
      <w:pPr>
        <w:pStyle w:val="Autor"/>
      </w:pPr>
      <w:r>
        <w:rPr>
          <w:b/>
        </w:rPr>
        <w:t>Alessandro Bueno Pedroso</w:t>
      </w:r>
      <w:r>
        <w:rPr>
          <w:b/>
        </w:rPr>
        <w:tab/>
      </w:r>
      <w:r>
        <w:t xml:space="preserve"> – </w:t>
      </w:r>
      <w:r>
        <w:rPr>
          <w:rFonts w:cs="Arial"/>
          <w:sz w:val="22"/>
          <w:szCs w:val="22"/>
        </w:rPr>
        <w:t>pedrosoalessandro@hotmail.com</w:t>
      </w:r>
    </w:p>
    <w:p w:rsidR="006A0C06" w:rsidRDefault="006A0C06" w:rsidP="0012145E">
      <w:pPr>
        <w:pStyle w:val="Autor"/>
      </w:pPr>
      <w:r>
        <w:t>Universidade Presbiteriana Mackenzie, Departamento de Engenharia Mecânica</w:t>
      </w:r>
    </w:p>
    <w:p w:rsidR="006A0C06" w:rsidRPr="002E7BE1" w:rsidRDefault="006A0C06" w:rsidP="00590F79">
      <w:pPr>
        <w:keepNext/>
        <w:outlineLvl w:val="0"/>
      </w:pPr>
      <w:r w:rsidRPr="002E7BE1">
        <w:t xml:space="preserve">Rua da Consolação, 930, </w:t>
      </w:r>
    </w:p>
    <w:p w:rsidR="006A0C06" w:rsidRPr="002E7BE1" w:rsidRDefault="006A0C06" w:rsidP="00590F79">
      <w:pPr>
        <w:keepNext/>
        <w:outlineLvl w:val="0"/>
      </w:pPr>
      <w:r w:rsidRPr="002E7BE1">
        <w:t>CEP-01302-907 – S. Paulo, SP</w:t>
      </w:r>
    </w:p>
    <w:p w:rsidR="006A0C06" w:rsidRDefault="006A0C06" w:rsidP="0012145E">
      <w:pPr>
        <w:pStyle w:val="Autor"/>
      </w:pPr>
      <w:r>
        <w:rPr>
          <w:b/>
        </w:rPr>
        <w:t>Helio Pekelman</w:t>
      </w:r>
      <w:r>
        <w:t xml:space="preserve"> – hel1217@ig.com.br</w:t>
      </w:r>
    </w:p>
    <w:p w:rsidR="006A0C06" w:rsidRDefault="006A0C06" w:rsidP="0012145E">
      <w:pPr>
        <w:jc w:val="both"/>
      </w:pPr>
    </w:p>
    <w:p w:rsidR="006A0C06" w:rsidRDefault="006A0C06" w:rsidP="0012145E">
      <w:pPr>
        <w:jc w:val="both"/>
      </w:pPr>
    </w:p>
    <w:p w:rsidR="006A0C06" w:rsidRPr="00590F79" w:rsidRDefault="006A0C06" w:rsidP="00761F69">
      <w:pPr>
        <w:jc w:val="both"/>
      </w:pPr>
    </w:p>
    <w:p w:rsidR="006A0C06" w:rsidRPr="00590F79" w:rsidRDefault="006A0C06" w:rsidP="00761F69">
      <w:pPr>
        <w:spacing w:after="120"/>
        <w:jc w:val="both"/>
        <w:rPr>
          <w:rFonts w:cs="Arial"/>
          <w:i/>
        </w:rPr>
      </w:pPr>
      <w:r w:rsidRPr="00590F79">
        <w:rPr>
          <w:b/>
          <w:i/>
        </w:rPr>
        <w:t>Resumo:</w:t>
      </w:r>
      <w:r w:rsidRPr="00590F79">
        <w:rPr>
          <w:i/>
        </w:rPr>
        <w:t xml:space="preserve"> </w:t>
      </w:r>
      <w:r w:rsidRPr="00590F79">
        <w:rPr>
          <w:rFonts w:cs="Arial"/>
          <w:i/>
        </w:rPr>
        <w:t>Este trabalho tem por objetivo analisar a vazão nos bicos de injeção de carro e motocicleta e verificar a possibilidade de sua aplicação em um motor de baixa cilindrada utilizado no carro participante da competição maratona de eficiência energética. Foram feitas pesquisas sobre o funcionamento dos motores a combustão e dos bicos injetores. Com base nos dados colhidos, foi construída uma bancada de testes para a verificação da vazão. Após os ensaios foi verificado que com os parâmetros pré-estabelecidos, ambos os bicos injetores, carro e motocicleta têm vazão acima do necessário para uso no motor de baixa cilindrada.</w:t>
      </w:r>
    </w:p>
    <w:p w:rsidR="006A0C06" w:rsidRPr="00590F79" w:rsidRDefault="006A0C06" w:rsidP="00761F69">
      <w:pPr>
        <w:pStyle w:val="Resumo"/>
      </w:pPr>
    </w:p>
    <w:p w:rsidR="006A0C06" w:rsidRDefault="006A0C06" w:rsidP="00761F69">
      <w:pPr>
        <w:pStyle w:val="Resumo"/>
      </w:pPr>
      <w:r>
        <w:rPr>
          <w:b/>
        </w:rPr>
        <w:t>Palavras-chave: Bico injetor, motor a combustão interna, economia combustível</w:t>
      </w:r>
    </w:p>
    <w:p w:rsidR="006A0C06" w:rsidRDefault="006A0C06" w:rsidP="00761F69">
      <w:pPr>
        <w:jc w:val="both"/>
      </w:pPr>
    </w:p>
    <w:p w:rsidR="006A0C06" w:rsidRDefault="006A0C06" w:rsidP="00761F69">
      <w:pPr>
        <w:jc w:val="both"/>
      </w:pPr>
    </w:p>
    <w:p w:rsidR="006A0C06" w:rsidRPr="006A635B" w:rsidRDefault="006A0C06" w:rsidP="00761F69">
      <w:pPr>
        <w:pStyle w:val="Heading1"/>
        <w:jc w:val="both"/>
        <w:rPr>
          <w:rFonts w:cs="Times New Roman"/>
        </w:rPr>
      </w:pPr>
      <w:r w:rsidRPr="006A635B">
        <w:rPr>
          <w:rFonts w:cs="Times New Roman"/>
        </w:rPr>
        <w:t>introdução</w:t>
      </w:r>
    </w:p>
    <w:p w:rsidR="006A0C06" w:rsidRPr="006A635B" w:rsidRDefault="006A0C06" w:rsidP="00761F69">
      <w:pPr>
        <w:spacing w:after="120"/>
        <w:ind w:firstLine="708"/>
        <w:jc w:val="both"/>
      </w:pPr>
      <w:r>
        <w:t>O Balanço Energético 2010 (resultados preliminares), ano base 2009</w:t>
      </w:r>
      <w:r w:rsidRPr="006A635B">
        <w:t>, mostra a estrutura da oferta da demanda de energia no Brasil, nele é possível verificar que o petróleo e seus derivados ainda ocupam a maior parcela com 37,8% do total. A grande maioria deste produto é queimada como combustível em uma diversidade de motores, poluindo o ambiente ou gerando gases de efeito estufa. Os esforços para reduzir a agressão ao meio ambiente são crescentes.</w:t>
      </w:r>
      <w:r>
        <w:t xml:space="preserve"> </w:t>
      </w:r>
      <w:r w:rsidRPr="006A635B">
        <w:t>Neste sentido, foi criada uma competição em 2004 com o intuito de desenvolver veículos capazes de otimizar o consumo energético. A Escola de Engenharia da Universidade Presbiteriana Mackenzie participou de todas as versões e vem utilizando esta plataforma como meio de desenvolvimento tecnológico em diversas áre</w:t>
      </w:r>
      <w:r>
        <w:t>as como:</w:t>
      </w:r>
      <w:r w:rsidRPr="006A635B">
        <w:t xml:space="preserve"> gestão de projetos, simulação numérica estrutural, simulação numérica aerodinâmica, tecnologia de motore</w:t>
      </w:r>
      <w:r>
        <w:t>s a combustão interna e motores elétricos.</w:t>
      </w:r>
    </w:p>
    <w:p w:rsidR="006A0C06" w:rsidRPr="006A635B" w:rsidRDefault="006A0C06" w:rsidP="00761F69">
      <w:pPr>
        <w:spacing w:after="120"/>
        <w:jc w:val="both"/>
        <w:rPr>
          <w:b/>
        </w:rPr>
      </w:pPr>
      <w:r w:rsidRPr="006A635B">
        <w:tab/>
        <w:t xml:space="preserve">A Escola de Engenharia tem desenvolvido tecnologia capaz de levar um veículo a percorrer grandes distâncias com um baixo consumo, porém utilizando uma tecnologia tradicional para a alimentação da mistura ar combustível, o carburador. Com o intuito de desenvolver e aplicar uma nova tecnologia, a injeção eletrônica, em motores de baixa cilindrada, este trabalho se propõe a investigar a vazão dos bicos injetores utilizados em carros comerciais com a finalidade de adaptá-los ao motor utilizado na competição Maratona de Eficiência Energética. Cabe ressaltar que a tecnologia de injeção eletrônica aplicada a motores de cilindradas maiores e com a intenção de melhora de desempenho, </w:t>
      </w:r>
      <w:r>
        <w:t>é dominada, porém pouca informação</w:t>
      </w:r>
      <w:r w:rsidRPr="006A635B">
        <w:t xml:space="preserve"> se encontra sobre </w:t>
      </w:r>
      <w:r>
        <w:t xml:space="preserve">os componentes e </w:t>
      </w:r>
      <w:r w:rsidRPr="006A635B">
        <w:t>o uso desta tecnologia em motores de baixa cilindrada e com a intenção de reduzir o consumo.</w:t>
      </w:r>
    </w:p>
    <w:p w:rsidR="006A0C06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  <w:rPr>
          <w:b/>
        </w:rPr>
      </w:pPr>
      <w:r>
        <w:rPr>
          <w:b/>
        </w:rPr>
        <w:t>1.1. Objetivo Geral</w:t>
      </w:r>
    </w:p>
    <w:p w:rsidR="006A0C06" w:rsidRPr="006A635B" w:rsidRDefault="006A0C06" w:rsidP="00761F69">
      <w:pPr>
        <w:spacing w:after="120"/>
        <w:jc w:val="both"/>
      </w:pPr>
      <w:r w:rsidRPr="006A635B">
        <w:tab/>
        <w:t>Analisar a vazão de saída de combustível (gasolina) em bico injetor automobilístico adaptado ás condições de uso no “carro econômico” da Universidade Presbiteriana Mackenzie.</w:t>
      </w:r>
    </w:p>
    <w:p w:rsidR="006A0C06" w:rsidRPr="006A635B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  <w:rPr>
          <w:b/>
        </w:rPr>
      </w:pPr>
      <w:r>
        <w:rPr>
          <w:b/>
        </w:rPr>
        <w:t>1.2. Objetivo Específico</w:t>
      </w:r>
    </w:p>
    <w:p w:rsidR="006A0C06" w:rsidRDefault="006A0C06" w:rsidP="00761F69">
      <w:pPr>
        <w:spacing w:after="120"/>
        <w:jc w:val="both"/>
      </w:pPr>
      <w:r w:rsidRPr="006A635B">
        <w:tab/>
        <w:t>Com o auxílio de uma bancada de ensaios, determinar a vazão de saída de combustível em bicos injetores utilizados em carro e motocicletas em diferentes freqüências de pulsação.</w:t>
      </w:r>
    </w:p>
    <w:p w:rsidR="006A0C06" w:rsidRPr="006A635B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  <w:rPr>
          <w:b/>
        </w:rPr>
      </w:pPr>
      <w:r>
        <w:rPr>
          <w:b/>
        </w:rPr>
        <w:t>1.3. Metodologia</w:t>
      </w:r>
    </w:p>
    <w:p w:rsidR="006A0C06" w:rsidRPr="006A635B" w:rsidRDefault="006A0C06" w:rsidP="00761F69">
      <w:pPr>
        <w:spacing w:after="120"/>
        <w:jc w:val="both"/>
      </w:pPr>
      <w:r w:rsidRPr="006A635B">
        <w:tab/>
        <w:t>Primeiramente, foram feitas</w:t>
      </w:r>
      <w:r>
        <w:t xml:space="preserve"> diversas pesquisas relacionadas</w:t>
      </w:r>
      <w:r w:rsidRPr="006A635B">
        <w:t xml:space="preserve"> ao funcionamento do bico injetor e dos aparelhos necessários para se construir uma bancada de teste que promovesse um resultado muito semelhante a de um sistema de injeção eletrônica encontrado nos motores dos automóveis. </w:t>
      </w:r>
      <w:r>
        <w:t xml:space="preserve">Foi buscado informações gerais das características de funcionamento do bico injetor como: </w:t>
      </w:r>
      <w:r w:rsidRPr="006A635B">
        <w:t>tempo de abertur</w:t>
      </w:r>
      <w:r>
        <w:t>a</w:t>
      </w:r>
      <w:r w:rsidRPr="006A635B">
        <w:t>, pressão de funcionamento e o tipo de o</w:t>
      </w:r>
      <w:r>
        <w:t>nda elétrica que deve ser gerada na</w:t>
      </w:r>
      <w:r w:rsidRPr="006A635B">
        <w:t xml:space="preserve"> alimentação do bico. </w:t>
      </w:r>
      <w:r>
        <w:t xml:space="preserve">Foi pesquisado os motores de combustão interna obtendo-se dados sobre a </w:t>
      </w:r>
      <w:r w:rsidRPr="006A635B">
        <w:t>mistura de ar/combustível e quais os fatores que inte</w:t>
      </w:r>
      <w:r>
        <w:t>rferem no desempenho. O</w:t>
      </w:r>
      <w:r w:rsidRPr="006A635B">
        <w:t>s efeitos negativos ao meio ambiente quando uma mistura é feita de forma desproporcional</w:t>
      </w:r>
      <w:r>
        <w:t xml:space="preserve"> também foram vistos</w:t>
      </w:r>
      <w:r w:rsidRPr="006A635B">
        <w:t>.</w:t>
      </w:r>
    </w:p>
    <w:p w:rsidR="006A0C06" w:rsidRDefault="006A0C06" w:rsidP="00761F69">
      <w:pPr>
        <w:spacing w:after="120"/>
        <w:jc w:val="both"/>
      </w:pPr>
      <w:r w:rsidRPr="006A635B">
        <w:tab/>
      </w:r>
      <w:r>
        <w:t xml:space="preserve">Foi feita </w:t>
      </w:r>
      <w:r w:rsidRPr="006A635B">
        <w:t>uma análise dos elementos essenci</w:t>
      </w:r>
      <w:r>
        <w:t xml:space="preserve">ais para o funcionamento de </w:t>
      </w:r>
      <w:r w:rsidRPr="006A635B">
        <w:t>um sistema</w:t>
      </w:r>
      <w:r>
        <w:t xml:space="preserve"> de injeção de combustível em</w:t>
      </w:r>
      <w:r w:rsidRPr="006A635B">
        <w:t xml:space="preserve"> carro </w:t>
      </w:r>
      <w:r>
        <w:t>e assim, desenvolvida a</w:t>
      </w:r>
      <w:r w:rsidRPr="006A635B">
        <w:t xml:space="preserve"> de montagem dos equipamentos e aparelhos de forma </w:t>
      </w:r>
      <w:r>
        <w:t>que fosse simples, barata e funcional.</w:t>
      </w:r>
    </w:p>
    <w:p w:rsidR="006A0C06" w:rsidRDefault="006A0C06" w:rsidP="00761F69">
      <w:pPr>
        <w:spacing w:after="120"/>
        <w:jc w:val="both"/>
      </w:pPr>
      <w:r>
        <w:tab/>
        <w:t xml:space="preserve">Um </w:t>
      </w:r>
      <w:r w:rsidRPr="006A635B">
        <w:t>circ</w:t>
      </w:r>
      <w:r>
        <w:t>uito eletrônico foi desenvolvido para se obter</w:t>
      </w:r>
      <w:r w:rsidRPr="006A635B">
        <w:t xml:space="preserve"> </w:t>
      </w:r>
      <w:r>
        <w:t>uma onda quadrada,</w:t>
      </w:r>
      <w:r w:rsidRPr="006A635B">
        <w:t xml:space="preserve"> que </w:t>
      </w:r>
      <w:r>
        <w:t>possa ser ajustada</w:t>
      </w:r>
      <w:r w:rsidRPr="006A635B">
        <w:t xml:space="preserve"> </w:t>
      </w:r>
      <w:r>
        <w:t>simulando o acelerador de um carro para se obter resultados em situações diferentes de desempenho.</w:t>
      </w:r>
    </w:p>
    <w:p w:rsidR="006A0C06" w:rsidRDefault="006A0C06" w:rsidP="00761F69">
      <w:pPr>
        <w:spacing w:after="120"/>
        <w:jc w:val="both"/>
      </w:pPr>
      <w:r w:rsidRPr="006A635B">
        <w:tab/>
      </w:r>
      <w:r>
        <w:t xml:space="preserve">Foram feitos </w:t>
      </w:r>
      <w:r w:rsidRPr="006A635B">
        <w:t>diversos ensaios utilizando-se como combustível gasolina Petrobrás Premium. Para cada freqüência ajustada, foi realizado um ensaio de v</w:t>
      </w:r>
      <w:r>
        <w:t>azão com duração de 30 segundos  O combustível coletado foi pesado em balança de precisão para a determinação da vazão.</w:t>
      </w:r>
    </w:p>
    <w:p w:rsidR="006A0C06" w:rsidRPr="006A635B" w:rsidRDefault="006A0C06" w:rsidP="00A20AE9">
      <w:pPr>
        <w:spacing w:after="120"/>
        <w:ind w:firstLine="708"/>
        <w:jc w:val="both"/>
      </w:pPr>
      <w:r>
        <w:t xml:space="preserve">Foram então construídos </w:t>
      </w:r>
      <w:r w:rsidRPr="006A635B">
        <w:t>quadros e gráficos para uma analise do co</w:t>
      </w:r>
      <w:r>
        <w:t>mportamento do bico injetor n</w:t>
      </w:r>
      <w:r w:rsidRPr="006A635B">
        <w:t>as condições de pressão, tempo de abertura e freqüência de opera</w:t>
      </w:r>
      <w:r>
        <w:t>ção a</w:t>
      </w:r>
      <w:r w:rsidRPr="006A635B">
        <w:t xml:space="preserve"> fim compará-los com os dados </w:t>
      </w:r>
      <w:r>
        <w:t>calculados e verificar</w:t>
      </w:r>
      <w:r w:rsidRPr="006A635B">
        <w:t xml:space="preserve"> se há a possibilidade de implantação de um sistema se injeção eletrônica </w:t>
      </w:r>
      <w:r>
        <w:t>com estes bicos nos carros da Escola.</w:t>
      </w:r>
    </w:p>
    <w:p w:rsidR="006A0C06" w:rsidRPr="006A635B" w:rsidRDefault="006A0C06" w:rsidP="00761F69">
      <w:pPr>
        <w:spacing w:after="120"/>
        <w:jc w:val="both"/>
      </w:pPr>
    </w:p>
    <w:p w:rsidR="006A0C06" w:rsidRDefault="006A0C06" w:rsidP="00761F69">
      <w:pPr>
        <w:spacing w:after="120"/>
        <w:jc w:val="both"/>
        <w:rPr>
          <w:b/>
        </w:rPr>
      </w:pPr>
      <w:r w:rsidRPr="006A635B">
        <w:rPr>
          <w:b/>
        </w:rPr>
        <w:t>2. REFERENCIAL TEÓRICO</w:t>
      </w:r>
    </w:p>
    <w:p w:rsidR="006A0C06" w:rsidRPr="006A635B" w:rsidRDefault="006A0C06" w:rsidP="00761F69">
      <w:pPr>
        <w:spacing w:after="120"/>
        <w:jc w:val="both"/>
        <w:rPr>
          <w:b/>
        </w:rPr>
      </w:pPr>
    </w:p>
    <w:p w:rsidR="006A0C06" w:rsidRPr="006A635B" w:rsidRDefault="006A0C06" w:rsidP="00761F69">
      <w:pPr>
        <w:spacing w:after="120"/>
        <w:ind w:firstLine="709"/>
        <w:jc w:val="both"/>
        <w:rPr>
          <w:color w:val="000000"/>
        </w:rPr>
      </w:pPr>
      <w:r w:rsidRPr="006A635B">
        <w:tab/>
        <w:t xml:space="preserve">Bosch (2002) coloca que </w:t>
      </w:r>
      <w:r w:rsidRPr="006A635B">
        <w:rPr>
          <w:color w:val="000000"/>
        </w:rPr>
        <w:t>devida à rápida evolução dos motores dos automóveis, o velho carburador já não supre as necessidades dos novos veículos, no que se refere à poluição, ec</w:t>
      </w:r>
      <w:r>
        <w:rPr>
          <w:color w:val="000000"/>
        </w:rPr>
        <w:t>onomia de combustível, potência e</w:t>
      </w:r>
      <w:r w:rsidRPr="006A635B">
        <w:rPr>
          <w:color w:val="000000"/>
        </w:rPr>
        <w:t xml:space="preserve"> respos</w:t>
      </w:r>
      <w:r>
        <w:rPr>
          <w:color w:val="000000"/>
        </w:rPr>
        <w:t>tas rápidas nas acelerações</w:t>
      </w:r>
      <w:r w:rsidRPr="006A635B">
        <w:rPr>
          <w:color w:val="000000"/>
        </w:rPr>
        <w:t>. O sistema de injeção eletrônica tem por objetivo proporcionar ao motor melhor rendimento com mais economia, em todos os regimes de funcionamento. Para que o motor tenha um funcionamento suave, econômico e não contamine o ambiente, ele necessita receber a perfeita mistura ar/combustível em todas as faixas de rotação. Um carburador, por melhor que seja e por melhor que esteja sua regulagem, não consegue alimentar o motor na proporção ideal de mistura. Os sistemas de injeção eletrônica têm essa característica de permitir que o motor receba somente o volume de combustível que ele necessita. Com isso eles garantem:</w:t>
      </w:r>
      <w:r>
        <w:rPr>
          <w:color w:val="000000"/>
        </w:rPr>
        <w:t xml:space="preserve"> m</w:t>
      </w:r>
      <w:r w:rsidRPr="006A635B">
        <w:rPr>
          <w:color w:val="000000"/>
        </w:rPr>
        <w:t>enos poluição;</w:t>
      </w:r>
      <w:r>
        <w:rPr>
          <w:color w:val="000000"/>
        </w:rPr>
        <w:t xml:space="preserve"> m</w:t>
      </w:r>
      <w:r w:rsidRPr="006A635B">
        <w:rPr>
          <w:color w:val="000000"/>
        </w:rPr>
        <w:t>aior economia;</w:t>
      </w:r>
      <w:r>
        <w:rPr>
          <w:color w:val="000000"/>
        </w:rPr>
        <w:t xml:space="preserve"> m</w:t>
      </w:r>
      <w:r w:rsidRPr="006A635B">
        <w:rPr>
          <w:color w:val="000000"/>
        </w:rPr>
        <w:t>elhor rendimento;</w:t>
      </w:r>
      <w:r>
        <w:rPr>
          <w:color w:val="000000"/>
        </w:rPr>
        <w:t xml:space="preserve"> p</w:t>
      </w:r>
      <w:r w:rsidRPr="006A635B">
        <w:rPr>
          <w:color w:val="000000"/>
        </w:rPr>
        <w:t>artidas mais rápidas;</w:t>
      </w:r>
      <w:r>
        <w:rPr>
          <w:color w:val="000000"/>
        </w:rPr>
        <w:t xml:space="preserve"> n</w:t>
      </w:r>
      <w:r w:rsidRPr="006A635B">
        <w:rPr>
          <w:color w:val="000000"/>
        </w:rPr>
        <w:t>ão utiliza afogador;</w:t>
      </w:r>
      <w:r>
        <w:rPr>
          <w:color w:val="000000"/>
        </w:rPr>
        <w:t xml:space="preserve"> m</w:t>
      </w:r>
      <w:r w:rsidRPr="006A635B">
        <w:rPr>
          <w:color w:val="000000"/>
        </w:rPr>
        <w:t>elhor aproveitamento do combustível.</w:t>
      </w:r>
    </w:p>
    <w:p w:rsidR="006A0C06" w:rsidRPr="006A635B" w:rsidRDefault="006A0C06" w:rsidP="00455A82">
      <w:pPr>
        <w:spacing w:after="120"/>
        <w:ind w:firstLine="709"/>
        <w:jc w:val="both"/>
      </w:pPr>
      <w:r>
        <w:rPr>
          <w:color w:val="000000"/>
        </w:rPr>
        <w:t xml:space="preserve">O bico injetor </w:t>
      </w:r>
      <w:r w:rsidRPr="006A635B">
        <w:rPr>
          <w:color w:val="000000"/>
        </w:rPr>
        <w:t>é a peça que injeta combustível na câmara de combustão, para que seja feita a mistura entre ar e combustível. O injetor é um dispositivo eletromagnético, tipo solenóide</w:t>
      </w:r>
      <w:r>
        <w:rPr>
          <w:color w:val="000000"/>
        </w:rPr>
        <w:t xml:space="preserve"> </w:t>
      </w:r>
      <w:r w:rsidRPr="006A635B">
        <w:rPr>
          <w:color w:val="000000"/>
        </w:rPr>
        <w:t>que, ao receber um sinal elétrico do modulo de injeção eletrônica, empur</w:t>
      </w:r>
      <w:r>
        <w:rPr>
          <w:color w:val="000000"/>
        </w:rPr>
        <w:t>ra o êmbolo ou núcleo para cima, i</w:t>
      </w:r>
      <w:r w:rsidRPr="006A635B">
        <w:rPr>
          <w:color w:val="000000"/>
        </w:rPr>
        <w:t>sto permite que a válvula, pressionada por uma mola, se desloque de sua sede permitindo que o combustível seja pulverizado ou atomizado no coletor de admissão. O volume de combustível injetado é proporcional ao tempo de abertura da válvula.</w:t>
      </w:r>
      <w:r w:rsidRPr="006A635B">
        <w:t xml:space="preserve"> </w:t>
      </w:r>
      <w:r>
        <w:t xml:space="preserve">Conforme Heisler, 1995 os pulsos que controlam a abertura da válvula </w:t>
      </w:r>
      <w:r w:rsidRPr="006A635B">
        <w:t xml:space="preserve">variam com uma amplitude de </w:t>
      </w:r>
      <w:smartTag w:uri="urn:schemas-microsoft-com:office:smarttags" w:element="metricconverter">
        <w:smartTagPr>
          <w:attr w:name="ProductID" w:val="1,0 a"/>
        </w:smartTagPr>
        <w:r w:rsidRPr="006A635B">
          <w:t>1,0 a</w:t>
        </w:r>
      </w:smartTag>
      <w:r w:rsidRPr="006A635B">
        <w:t xml:space="preserve"> 1,5 ms e com uma corrente aproximada de 1,5 Amp</w:t>
      </w:r>
      <w:r>
        <w:t>eres.</w:t>
      </w:r>
    </w:p>
    <w:p w:rsidR="006A0C06" w:rsidRPr="006A635B" w:rsidRDefault="006A0C06" w:rsidP="00761F69">
      <w:pPr>
        <w:spacing w:after="120"/>
        <w:jc w:val="both"/>
      </w:pPr>
      <w:r w:rsidRPr="006A635B">
        <w:tab/>
        <w:t xml:space="preserve">Em um sistema tradicional de injeção eletrônica, o combustível é alimentado via uma bomba que recalca o combustível do tanque e o pressuriza em uma flauta que é o ponto de união entre a linha de combustível, os injetores e o regulador de pressão. A flauta esta instalada próxima ao coletor de admissão. </w:t>
      </w:r>
    </w:p>
    <w:p w:rsidR="006A0C06" w:rsidRPr="006A635B" w:rsidRDefault="006A0C06" w:rsidP="00761F69">
      <w:pPr>
        <w:spacing w:after="120"/>
        <w:ind w:firstLine="708"/>
        <w:jc w:val="both"/>
      </w:pPr>
      <w:r w:rsidRPr="006A635B">
        <w:t xml:space="preserve">Um dado importante foi obtido de Stone, Ball, 2004 que informa a pressão de injeção em motores multiponto como sendo normalmente de </w:t>
      </w:r>
      <w:smartTag w:uri="urn:schemas-microsoft-com:office:smarttags" w:element="metricconverter">
        <w:smartTagPr>
          <w:attr w:name="ProductID" w:val="2 a"/>
        </w:smartTagPr>
        <w:r w:rsidRPr="006A635B">
          <w:t>2 a</w:t>
        </w:r>
      </w:smartTag>
      <w:r w:rsidRPr="006A635B">
        <w:t xml:space="preserve"> 3 bar acima da pressão atmosférica</w:t>
      </w:r>
      <w:r w:rsidRPr="006A635B">
        <w:rPr>
          <w:i/>
        </w:rPr>
        <w:t>.</w:t>
      </w:r>
    </w:p>
    <w:p w:rsidR="006A0C06" w:rsidRPr="006A635B" w:rsidRDefault="006A0C06" w:rsidP="00761F69">
      <w:pPr>
        <w:spacing w:after="120"/>
        <w:jc w:val="both"/>
        <w:rPr>
          <w:b/>
        </w:rPr>
      </w:pPr>
    </w:p>
    <w:p w:rsidR="006A0C06" w:rsidRPr="00404C6F" w:rsidRDefault="006A0C06" w:rsidP="00761F69">
      <w:pPr>
        <w:spacing w:after="120"/>
        <w:jc w:val="both"/>
        <w:rPr>
          <w:b/>
        </w:rPr>
      </w:pPr>
      <w:r w:rsidRPr="00404C6F">
        <w:rPr>
          <w:b/>
        </w:rPr>
        <w:t>3. ENSAIO</w:t>
      </w:r>
    </w:p>
    <w:p w:rsidR="006A0C06" w:rsidRPr="006A635B" w:rsidRDefault="006A0C06" w:rsidP="00761F69">
      <w:pPr>
        <w:spacing w:after="120"/>
        <w:jc w:val="both"/>
        <w:rPr>
          <w:b/>
        </w:rPr>
      </w:pP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  <w:r w:rsidRPr="006A635B">
        <w:rPr>
          <w:rFonts w:ascii="Times New Roman" w:hAnsi="Times New Roman"/>
          <w:b/>
        </w:rPr>
        <w:t>3.1</w:t>
      </w:r>
      <w:r>
        <w:rPr>
          <w:rFonts w:ascii="Times New Roman" w:hAnsi="Times New Roman"/>
          <w:b/>
        </w:rPr>
        <w:t>.</w:t>
      </w:r>
      <w:r w:rsidRPr="006A635B">
        <w:rPr>
          <w:rFonts w:ascii="Times New Roman" w:hAnsi="Times New Roman"/>
          <w:b/>
        </w:rPr>
        <w:t xml:space="preserve"> Descrição da bancada</w:t>
      </w: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  <w:r w:rsidRPr="006A635B">
        <w:rPr>
          <w:rFonts w:ascii="Times New Roman" w:hAnsi="Times New Roman"/>
        </w:rPr>
        <w:tab/>
        <w:t xml:space="preserve">Faz parte </w:t>
      </w:r>
      <w:r>
        <w:rPr>
          <w:rFonts w:ascii="Times New Roman" w:hAnsi="Times New Roman"/>
        </w:rPr>
        <w:t xml:space="preserve">integrante </w:t>
      </w:r>
      <w:r w:rsidRPr="006A635B">
        <w:rPr>
          <w:rFonts w:ascii="Times New Roman" w:hAnsi="Times New Roman"/>
        </w:rPr>
        <w:t>da bancada</w:t>
      </w:r>
      <w:r>
        <w:rPr>
          <w:rFonts w:ascii="Times New Roman" w:hAnsi="Times New Roman"/>
        </w:rPr>
        <w:t xml:space="preserve"> (Fotografia 1</w:t>
      </w:r>
      <w:r w:rsidRPr="006A635B">
        <w:rPr>
          <w:rFonts w:ascii="Times New Roman" w:hAnsi="Times New Roman"/>
        </w:rPr>
        <w:t xml:space="preserve">), um pulmão, um tanque de combustível, uma bomba manual, mangueiras e adaptadores, um béquer, um bico </w:t>
      </w:r>
      <w:r>
        <w:rPr>
          <w:rFonts w:ascii="Times New Roman" w:hAnsi="Times New Roman"/>
        </w:rPr>
        <w:t xml:space="preserve">injetor </w:t>
      </w:r>
      <w:r w:rsidRPr="006A635B">
        <w:rPr>
          <w:rFonts w:ascii="Times New Roman" w:hAnsi="Times New Roman"/>
        </w:rPr>
        <w:t xml:space="preserve">e um manômetro. Também faz parte da bancada um circuito eletrônico </w:t>
      </w:r>
      <w:r>
        <w:rPr>
          <w:rFonts w:ascii="Times New Roman" w:hAnsi="Times New Roman"/>
        </w:rPr>
        <w:t xml:space="preserve">(fotografia 2) </w:t>
      </w:r>
      <w:r w:rsidRPr="006A635B">
        <w:rPr>
          <w:rFonts w:ascii="Times New Roman" w:hAnsi="Times New Roman"/>
        </w:rPr>
        <w:t>com a f</w:t>
      </w:r>
      <w:r>
        <w:rPr>
          <w:rFonts w:ascii="Times New Roman" w:hAnsi="Times New Roman"/>
        </w:rPr>
        <w:t xml:space="preserve">inalidade de fornecer ao bico os pulsos na freqüência </w:t>
      </w:r>
      <w:r w:rsidRPr="006A635B">
        <w:rPr>
          <w:rFonts w:ascii="Times New Roman" w:hAnsi="Times New Roman"/>
        </w:rPr>
        <w:t xml:space="preserve">necessária para seu </w:t>
      </w:r>
      <w:r>
        <w:rPr>
          <w:rFonts w:ascii="Times New Roman" w:hAnsi="Times New Roman"/>
        </w:rPr>
        <w:t>funcionamento.</w:t>
      </w: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25" o:spid="_x0000_s1027" type="#_x0000_t75" alt="P9300222" style="position:absolute;left:0;text-align:left;margin-left:230.25pt;margin-top:14.6pt;width:210.9pt;height:157.55pt;z-index:-251650048;visibility:visible" wrapcoords="-77 0 -77 21497 21600 21497 21600 0 -77 0">
            <v:imagedata r:id="rId7" o:title=""/>
            <w10:wrap type="tight"/>
          </v:shape>
        </w:pict>
      </w:r>
      <w:r>
        <w:rPr>
          <w:noProof/>
        </w:rPr>
        <w:pict>
          <v:shape id="Imagem 5" o:spid="_x0000_s1028" type="#_x0000_t75" style="position:absolute;left:0;text-align:left;margin-left:6.1pt;margin-top:203.75pt;width:218.4pt;height:157.55pt;z-index:251650048;visibility:visible;mso-position-vertical-relative:page">
            <v:imagedata r:id="rId8" o:title=""/>
            <w10:wrap type="square" anchory="page"/>
          </v:shape>
        </w:pict>
      </w: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237.45pt;margin-top:.55pt;width:180pt;height:34.5pt;z-index:251646976" stroked="f">
            <v:textbox>
              <w:txbxContent>
                <w:p w:rsidR="006A0C06" w:rsidRPr="00BC6008" w:rsidRDefault="006A0C06" w:rsidP="00590F79">
                  <w:r>
                    <w:t>Fotografia 2 – Circuito eletronico</w:t>
                  </w:r>
                </w:p>
                <w:p w:rsidR="006A0C06" w:rsidRPr="00BC6008" w:rsidRDefault="006A0C06" w:rsidP="00590F79">
                  <w:r w:rsidRPr="00BC6008">
                    <w:t xml:space="preserve"> Fonte Própria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0" type="#_x0000_t202" style="position:absolute;left:0;text-align:left;margin-left:9.45pt;margin-top:.25pt;width:197.7pt;height:125.85pt;z-index:251651072" stroked="f">
            <v:textbox style="mso-fit-shape-to-text:t">
              <w:txbxContent>
                <w:p w:rsidR="006A0C06" w:rsidRPr="00404C6F" w:rsidRDefault="006A0C06" w:rsidP="00590F79">
                  <w:r>
                    <w:t>Fotografia</w:t>
                  </w:r>
                  <w:r w:rsidRPr="00404C6F">
                    <w:t xml:space="preserve"> </w:t>
                  </w:r>
                  <w:r>
                    <w:t>1</w:t>
                  </w:r>
                  <w:r w:rsidRPr="00404C6F">
                    <w:t xml:space="preserve"> – Bancada de Testes - Fonte Própria</w:t>
                  </w:r>
                </w:p>
              </w:txbxContent>
            </v:textbox>
          </v:shape>
        </w:pict>
      </w: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</w:p>
    <w:p w:rsidR="006A0C06" w:rsidRPr="006A635B" w:rsidRDefault="006A0C06" w:rsidP="003C40EC">
      <w:pPr>
        <w:pStyle w:val="REAd-Marcador2"/>
        <w:numPr>
          <w:ilvl w:val="0"/>
          <w:numId w:val="0"/>
        </w:numPr>
        <w:spacing w:after="12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 pulmão</w:t>
      </w:r>
      <w:r w:rsidRPr="006A635B">
        <w:rPr>
          <w:rFonts w:ascii="Times New Roman" w:hAnsi="Times New Roman"/>
        </w:rPr>
        <w:t xml:space="preserve"> tem a finalidade de </w:t>
      </w:r>
      <w:r>
        <w:rPr>
          <w:rFonts w:ascii="Times New Roman" w:hAnsi="Times New Roman"/>
        </w:rPr>
        <w:t>armazenar o ar pressurizado por</w:t>
      </w:r>
      <w:r w:rsidRPr="006A635B">
        <w:rPr>
          <w:rFonts w:ascii="Times New Roman" w:hAnsi="Times New Roman"/>
        </w:rPr>
        <w:t xml:space="preserve"> bomba manual a fim de promover a pressurização do sistema de alimentação</w:t>
      </w:r>
      <w:r>
        <w:rPr>
          <w:rFonts w:ascii="Times New Roman" w:hAnsi="Times New Roman"/>
        </w:rPr>
        <w:t xml:space="preserve"> de combustível. Esse sistema foi feito</w:t>
      </w:r>
      <w:r w:rsidRPr="006A635B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e modo a reduzir o peso e diminuir a quantidade de componentes deixando o sistema mais confiável. F</w:t>
      </w:r>
      <w:r w:rsidRPr="006A635B">
        <w:rPr>
          <w:rFonts w:ascii="Times New Roman" w:hAnsi="Times New Roman"/>
        </w:rPr>
        <w:t xml:space="preserve">oi utilizada uma garrafa PET, pois ela suporta satisfatoriamente a pressão </w:t>
      </w:r>
      <w:r>
        <w:rPr>
          <w:rFonts w:ascii="Times New Roman" w:hAnsi="Times New Roman"/>
        </w:rPr>
        <w:t xml:space="preserve">de 3 bar </w:t>
      </w:r>
      <w:r w:rsidRPr="006A635B">
        <w:rPr>
          <w:rFonts w:ascii="Times New Roman" w:hAnsi="Times New Roman"/>
        </w:rPr>
        <w:t xml:space="preserve">aplicada ao sistema </w:t>
      </w: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</w:p>
    <w:p w:rsidR="006A0C06" w:rsidRPr="006A635B" w:rsidRDefault="006A0C06" w:rsidP="00761F69">
      <w:pPr>
        <w:autoSpaceDE w:val="0"/>
        <w:autoSpaceDN w:val="0"/>
        <w:adjustRightInd w:val="0"/>
        <w:spacing w:after="120"/>
        <w:jc w:val="both"/>
        <w:rPr>
          <w:b/>
        </w:rPr>
      </w:pPr>
      <w:r>
        <w:rPr>
          <w:b/>
        </w:rPr>
        <w:t>3</w:t>
      </w:r>
      <w:r w:rsidRPr="006A635B">
        <w:rPr>
          <w:b/>
        </w:rPr>
        <w:t>.2</w:t>
      </w:r>
      <w:r>
        <w:rPr>
          <w:b/>
        </w:rPr>
        <w:t>.</w:t>
      </w:r>
      <w:r w:rsidRPr="006A635B">
        <w:rPr>
          <w:b/>
        </w:rPr>
        <w:t xml:space="preserve"> Descrição do circuito eletrônico </w:t>
      </w:r>
    </w:p>
    <w:p w:rsidR="006A0C06" w:rsidRPr="006A635B" w:rsidRDefault="006A0C06" w:rsidP="00761F69">
      <w:pPr>
        <w:autoSpaceDE w:val="0"/>
        <w:autoSpaceDN w:val="0"/>
        <w:adjustRightInd w:val="0"/>
        <w:spacing w:after="120"/>
        <w:jc w:val="both"/>
      </w:pPr>
      <w:r w:rsidRPr="006A635B">
        <w:tab/>
      </w:r>
      <w:r>
        <w:t xml:space="preserve">A partir de uma tensão de </w:t>
      </w:r>
      <w:r w:rsidRPr="006A635B">
        <w:t xml:space="preserve">12 volts fornecidos ao </w:t>
      </w:r>
      <w:r>
        <w:t xml:space="preserve">circuito integrado (CI </w:t>
      </w:r>
      <w:r w:rsidRPr="006A635B">
        <w:t>555</w:t>
      </w:r>
      <w:r>
        <w:t>),</w:t>
      </w:r>
      <w:r w:rsidRPr="006A635B">
        <w:t xml:space="preserve"> gera</w:t>
      </w:r>
      <w:r>
        <w:t>-se uma saída com</w:t>
      </w:r>
      <w:r w:rsidRPr="006A635B">
        <w:t xml:space="preserve"> onda quadrada com duração dos níveis Altos e Baixos proporcionais as malhas RC (potenciômetro e capacitor). A saída do CI</w:t>
      </w:r>
      <w:r>
        <w:t xml:space="preserve"> 555 encontra-se ligada a base do transistor</w:t>
      </w:r>
      <w:r w:rsidRPr="006A635B">
        <w:t>. Quando a onda</w:t>
      </w:r>
      <w:r>
        <w:t xml:space="preserve"> chega em estado alto</w:t>
      </w:r>
      <w:r w:rsidRPr="006A635B">
        <w:t xml:space="preserve"> na base do transistor, este se polariza e permite condução entre coletor/emissor, fazendo com que a corren</w:t>
      </w:r>
      <w:r>
        <w:t>te flua até</w:t>
      </w:r>
      <w:r w:rsidRPr="006A635B">
        <w:t xml:space="preserve"> bico injetor e este forneça combustível ao </w:t>
      </w:r>
      <w:r>
        <w:t>sistema. Quando o estado baixo</w:t>
      </w:r>
      <w:r w:rsidRPr="006A635B">
        <w:t xml:space="preserve"> chega a base do transistor, sua base não fica polarizada e não permite o fluxo de corrente entre coletor/emissor.</w:t>
      </w:r>
      <w:r>
        <w:t xml:space="preserve"> </w:t>
      </w:r>
      <w:r w:rsidRPr="006A635B">
        <w:t>O período e a la</w:t>
      </w:r>
      <w:r>
        <w:t xml:space="preserve">rgura do pulso da onda </w:t>
      </w:r>
      <w:r w:rsidRPr="006A635B">
        <w:t>determinam por quanto tempo o bico injetor ira fornecer combustível e os int</w:t>
      </w:r>
      <w:r>
        <w:t xml:space="preserve">ervalos entre cada fornecimento. Ambos </w:t>
      </w:r>
      <w:r w:rsidRPr="006A635B">
        <w:t xml:space="preserve"> são regulados com o auxílio de dois potenciômetros.</w:t>
      </w:r>
      <w:r>
        <w:t xml:space="preserve"> O circuito eletrônico simula o módulo de injeção eletrônica do carro.</w:t>
      </w:r>
    </w:p>
    <w:p w:rsidR="006A0C06" w:rsidRDefault="006A0C06">
      <w:r>
        <w:br w:type="page"/>
      </w:r>
    </w:p>
    <w:p w:rsidR="006A0C06" w:rsidRPr="006A635B" w:rsidRDefault="006A0C06" w:rsidP="00A242A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 w:rsidRPr="006A635B">
        <w:rPr>
          <w:rFonts w:ascii="Times New Roman" w:hAnsi="Times New Roman"/>
          <w:b/>
        </w:rPr>
        <w:t>4. RESULTADOS E DISCUSSÃO</w:t>
      </w:r>
    </w:p>
    <w:p w:rsidR="006A0C06" w:rsidRPr="006A635B" w:rsidRDefault="006A0C06" w:rsidP="00A242A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6A0C06" w:rsidRDefault="006A0C06" w:rsidP="00A242A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  <w:lang w:eastAsia="en-US"/>
        </w:rPr>
      </w:pPr>
      <w:r w:rsidRPr="00BC6008">
        <w:rPr>
          <w:rFonts w:ascii="Times New Roman" w:hAnsi="Times New Roman"/>
          <w:b/>
        </w:rPr>
        <w:t>4.1</w:t>
      </w:r>
      <w:r>
        <w:rPr>
          <w:rFonts w:ascii="Times New Roman" w:hAnsi="Times New Roman"/>
          <w:b/>
        </w:rPr>
        <w:t>.</w:t>
      </w:r>
      <w:r w:rsidRPr="00BC6008">
        <w:rPr>
          <w:rFonts w:ascii="Times New Roman" w:hAnsi="Times New Roman"/>
          <w:b/>
          <w:lang w:eastAsia="en-US"/>
        </w:rPr>
        <w:t xml:space="preserve"> </w:t>
      </w:r>
      <w:r>
        <w:rPr>
          <w:rFonts w:ascii="Times New Roman" w:hAnsi="Times New Roman"/>
          <w:b/>
          <w:lang w:eastAsia="en-US"/>
        </w:rPr>
        <w:t>C</w:t>
      </w:r>
      <w:r w:rsidRPr="00BC6008">
        <w:rPr>
          <w:rFonts w:ascii="Times New Roman" w:hAnsi="Times New Roman"/>
          <w:b/>
          <w:lang w:eastAsia="en-US"/>
        </w:rPr>
        <w:t>álculo da vazão necessária de combustível</w:t>
      </w:r>
    </w:p>
    <w:p w:rsidR="006A0C06" w:rsidRPr="00BC6008" w:rsidRDefault="006A0C06" w:rsidP="00A242A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A242AC">
      <w:pPr>
        <w:jc w:val="both"/>
        <w:rPr>
          <w:lang w:eastAsia="en-US"/>
        </w:rPr>
      </w:pPr>
      <w:r w:rsidRPr="006A635B">
        <w:rPr>
          <w:lang w:eastAsia="en-US"/>
        </w:rPr>
        <w:t>Cada litro de gasolina se combina com cerca de 10000 litros de ar. (PUGLIESI, 1998).</w:t>
      </w:r>
    </w:p>
    <w:p w:rsidR="006A0C06" w:rsidRPr="006A635B" w:rsidRDefault="006A0C06" w:rsidP="00A242AC">
      <w:pPr>
        <w:jc w:val="both"/>
        <w:rPr>
          <w:lang w:eastAsia="en-US"/>
        </w:rPr>
      </w:pPr>
      <w:r w:rsidRPr="006A635B">
        <w:rPr>
          <w:lang w:eastAsia="en-US"/>
        </w:rPr>
        <w:tab/>
        <w:t xml:space="preserve">Razão combustível/ar: </w:t>
      </w:r>
      <w:r w:rsidRPr="006A635B">
        <w:rPr>
          <w:lang w:eastAsia="en-US"/>
        </w:rPr>
        <w:tab/>
      </w:r>
      <w:r w:rsidRPr="006A635B">
        <w:rPr>
          <w:lang w:eastAsia="en-US"/>
        </w:rPr>
        <w:tab/>
        <w:t>Em massa</w:t>
      </w:r>
      <w:r>
        <w:rPr>
          <w:lang w:eastAsia="en-US"/>
        </w:rPr>
        <w:t xml:space="preserve">  </w:t>
      </w:r>
      <w:r w:rsidRPr="006A635B">
        <w:rPr>
          <w:lang w:eastAsia="en-US"/>
        </w:rPr>
        <w:t xml:space="preserve"> – 1:13,5</w:t>
      </w:r>
    </w:p>
    <w:p w:rsidR="006A0C06" w:rsidRPr="006A635B" w:rsidRDefault="006A0C06" w:rsidP="00A242AC">
      <w:pPr>
        <w:jc w:val="both"/>
        <w:rPr>
          <w:lang w:eastAsia="en-US"/>
        </w:rPr>
      </w:pPr>
      <w:r w:rsidRPr="006A635B">
        <w:rPr>
          <w:lang w:eastAsia="en-US"/>
        </w:rPr>
        <w:tab/>
      </w:r>
      <w:r w:rsidRPr="006A635B">
        <w:rPr>
          <w:lang w:eastAsia="en-US"/>
        </w:rPr>
        <w:tab/>
      </w:r>
      <w:r w:rsidRPr="006A635B">
        <w:rPr>
          <w:lang w:eastAsia="en-US"/>
        </w:rPr>
        <w:tab/>
      </w:r>
      <w:r w:rsidRPr="006A635B">
        <w:rPr>
          <w:lang w:eastAsia="en-US"/>
        </w:rPr>
        <w:tab/>
      </w:r>
      <w:r w:rsidRPr="006A635B">
        <w:rPr>
          <w:lang w:eastAsia="en-US"/>
        </w:rPr>
        <w:tab/>
      </w:r>
      <w:r w:rsidRPr="006A635B">
        <w:rPr>
          <w:lang w:eastAsia="en-US"/>
        </w:rPr>
        <w:tab/>
        <w:t>Em volume – 1:10.000</w:t>
      </w:r>
    </w:p>
    <w:p w:rsidR="006A0C06" w:rsidRPr="006A635B" w:rsidRDefault="006A0C06" w:rsidP="00A242AC">
      <w:pPr>
        <w:jc w:val="both"/>
        <w:rPr>
          <w:b/>
          <w:lang w:eastAsia="en-US"/>
        </w:rPr>
      </w:pPr>
    </w:p>
    <w:p w:rsidR="006A0C06" w:rsidRPr="006A635B" w:rsidRDefault="006A0C06" w:rsidP="00761F69">
      <w:pPr>
        <w:spacing w:after="120"/>
        <w:jc w:val="both"/>
        <w:rPr>
          <w:b/>
        </w:rPr>
      </w:pPr>
      <w:r w:rsidRPr="006A635B">
        <w:rPr>
          <w:b/>
        </w:rPr>
        <w:t>4</w:t>
      </w:r>
      <w:r>
        <w:rPr>
          <w:b/>
        </w:rPr>
        <w:t>.2.</w:t>
      </w:r>
      <w:r w:rsidRPr="006A635B">
        <w:rPr>
          <w:b/>
        </w:rPr>
        <w:t xml:space="preserve"> Volume do cilindro</w:t>
      </w:r>
    </w:p>
    <w:p w:rsidR="006A0C06" w:rsidRPr="006A635B" w:rsidRDefault="006A0C06" w:rsidP="00761F69">
      <w:pPr>
        <w:spacing w:after="120"/>
        <w:jc w:val="both"/>
      </w:pPr>
      <w:r w:rsidRPr="006A635B">
        <w:tab/>
        <w:t>O est</w:t>
      </w:r>
      <w:r>
        <w:t>udo está sendo realizado para</w:t>
      </w:r>
      <w:r w:rsidRPr="006A635B">
        <w:t xml:space="preserve"> a utilização de injeção de combustível</w:t>
      </w:r>
      <w:r>
        <w:t xml:space="preserve"> em</w:t>
      </w:r>
      <w:r w:rsidRPr="006A635B">
        <w:t xml:space="preserve"> um motor Honda GX 22, onde o volume do cilindro corres</w:t>
      </w:r>
      <w:r>
        <w:t>ponde a 22 cm³. A conversão em litros é conforme equação 1</w:t>
      </w:r>
    </w:p>
    <w:p w:rsidR="006A0C06" w:rsidRDefault="006A0C06" w:rsidP="00A242AC">
      <w:pPr>
        <w:jc w:val="both"/>
      </w:pPr>
      <w:r>
        <w:rPr>
          <w:noProof/>
        </w:rPr>
        <w:pict>
          <v:shape id="_x0000_s1031" type="#_x0000_t75" style="position:absolute;left:0;text-align:left;margin-left:1in;margin-top:10.15pt;width:201.75pt;height:19.7pt;z-index:251654144">
            <v:imagedata r:id="rId9" o:title=""/>
            <w10:wrap type="square"/>
          </v:shape>
          <o:OLEObject Type="Embed" ProgID="Equation.3" ShapeID="_x0000_s1031" DrawAspect="Content" ObjectID="_1343157690" r:id="rId10"/>
        </w:pict>
      </w:r>
    </w:p>
    <w:p w:rsidR="006A0C06" w:rsidRDefault="006A0C06" w:rsidP="00A242AC">
      <w:pPr>
        <w:jc w:val="both"/>
      </w:pPr>
      <w:r>
        <w:tab/>
      </w:r>
      <w:r>
        <w:tab/>
      </w:r>
      <w:r>
        <w:tab/>
      </w:r>
      <w:r>
        <w:tab/>
        <w:t>(1)</w:t>
      </w:r>
    </w:p>
    <w:p w:rsidR="006A0C06" w:rsidRPr="006A635B" w:rsidRDefault="006A0C06" w:rsidP="00A242AC">
      <w:pPr>
        <w:jc w:val="both"/>
      </w:pPr>
    </w:p>
    <w:p w:rsidR="006A0C06" w:rsidRPr="006A635B" w:rsidRDefault="006A0C06" w:rsidP="00761F69">
      <w:pPr>
        <w:spacing w:after="120"/>
        <w:jc w:val="both"/>
        <w:rPr>
          <w:b/>
          <w:lang w:eastAsia="en-US"/>
        </w:rPr>
      </w:pPr>
      <w:r w:rsidRPr="006A635B">
        <w:rPr>
          <w:b/>
          <w:lang w:eastAsia="en-US"/>
        </w:rPr>
        <w:t>4</w:t>
      </w:r>
      <w:r>
        <w:rPr>
          <w:b/>
          <w:lang w:eastAsia="en-US"/>
        </w:rPr>
        <w:t>.3.</w:t>
      </w:r>
      <w:r w:rsidRPr="006A635B">
        <w:rPr>
          <w:b/>
          <w:lang w:eastAsia="en-US"/>
        </w:rPr>
        <w:t xml:space="preserve"> Vazão </w:t>
      </w:r>
      <w:r>
        <w:rPr>
          <w:b/>
          <w:lang w:eastAsia="en-US"/>
        </w:rPr>
        <w:t xml:space="preserve">de gasolina </w:t>
      </w:r>
      <w:r w:rsidRPr="006A635B">
        <w:rPr>
          <w:b/>
          <w:lang w:eastAsia="en-US"/>
        </w:rPr>
        <w:t>para uma mistura ideal</w:t>
      </w:r>
    </w:p>
    <w:p w:rsidR="006A0C06" w:rsidRPr="006A635B" w:rsidRDefault="006A0C06" w:rsidP="006B3D4B">
      <w:pPr>
        <w:jc w:val="both"/>
        <w:rPr>
          <w:lang w:eastAsia="en-US"/>
        </w:rPr>
      </w:pPr>
      <w:r w:rsidRPr="006A635B">
        <w:rPr>
          <w:lang w:eastAsia="en-US"/>
        </w:rPr>
        <w:tab/>
        <w:t>Sabendo-se o volume do cilindro e a porcentagem de gasolina</w:t>
      </w:r>
      <w:r>
        <w:rPr>
          <w:lang w:eastAsia="en-US"/>
        </w:rPr>
        <w:t xml:space="preserve"> na mistura</w:t>
      </w:r>
      <w:r w:rsidRPr="006A635B">
        <w:rPr>
          <w:lang w:eastAsia="en-US"/>
        </w:rPr>
        <w:t xml:space="preserve">, obtêm-se </w:t>
      </w:r>
      <w:r>
        <w:rPr>
          <w:lang w:eastAsia="en-US"/>
        </w:rPr>
        <w:t xml:space="preserve">pela Equação 2 </w:t>
      </w:r>
      <w:r w:rsidRPr="006A635B">
        <w:rPr>
          <w:lang w:eastAsia="en-US"/>
        </w:rPr>
        <w:t>a vazão em função da rotação.</w:t>
      </w:r>
      <w:r>
        <w:rPr>
          <w:lang w:eastAsia="en-US"/>
        </w:rPr>
        <w:t xml:space="preserve"> Sendo n = r</w:t>
      </w:r>
      <w:r w:rsidRPr="006A635B">
        <w:rPr>
          <w:lang w:eastAsia="en-US"/>
        </w:rPr>
        <w:t>otação do motor</w:t>
      </w:r>
    </w:p>
    <w:p w:rsidR="006A0C06" w:rsidRDefault="006A0C06" w:rsidP="006B3D4B">
      <w:pPr>
        <w:jc w:val="both"/>
        <w:rPr>
          <w:lang w:eastAsia="en-US"/>
        </w:rPr>
      </w:pPr>
      <w:r>
        <w:rPr>
          <w:noProof/>
        </w:rPr>
        <w:pict>
          <v:shape id="_x0000_s1032" type="#_x0000_t75" style="position:absolute;left:0;text-align:left;margin-left:66.1pt;margin-top:10.35pt;width:185.9pt;height:29.2pt;z-index:251655168">
            <v:imagedata r:id="rId11" o:title=""/>
            <w10:wrap type="square"/>
          </v:shape>
          <o:OLEObject Type="Embed" ProgID="Equation.3" ShapeID="_x0000_s1032" DrawAspect="Content" ObjectID="_1343157691" r:id="rId12"/>
        </w:pict>
      </w:r>
    </w:p>
    <w:p w:rsidR="006A0C06" w:rsidRDefault="006A0C06" w:rsidP="006B3D4B">
      <w:pPr>
        <w:ind w:left="7080" w:firstLine="708"/>
        <w:jc w:val="both"/>
        <w:rPr>
          <w:lang w:eastAsia="en-US"/>
        </w:rPr>
      </w:pPr>
      <w:r>
        <w:rPr>
          <w:lang w:eastAsia="en-US"/>
        </w:rPr>
        <w:t>(2)</w:t>
      </w:r>
    </w:p>
    <w:p w:rsidR="006A0C06" w:rsidRDefault="006A0C06" w:rsidP="006B3D4B">
      <w:pPr>
        <w:jc w:val="both"/>
        <w:rPr>
          <w:lang w:eastAsia="en-US"/>
        </w:rPr>
      </w:pPr>
    </w:p>
    <w:p w:rsidR="006A0C06" w:rsidRDefault="006A0C06" w:rsidP="006B3D4B">
      <w:pPr>
        <w:jc w:val="both"/>
        <w:rPr>
          <w:lang w:eastAsia="en-US"/>
        </w:rPr>
      </w:pPr>
    </w:p>
    <w:p w:rsidR="006A0C06" w:rsidRDefault="006A0C06" w:rsidP="006B3D4B">
      <w:pPr>
        <w:jc w:val="both"/>
        <w:rPr>
          <w:lang w:eastAsia="en-US"/>
        </w:rPr>
      </w:pPr>
      <w:r w:rsidRPr="006A635B">
        <w:rPr>
          <w:lang w:eastAsia="en-US"/>
        </w:rPr>
        <w:t xml:space="preserve">Utilizando a equação </w:t>
      </w:r>
      <w:r>
        <w:rPr>
          <w:lang w:eastAsia="en-US"/>
        </w:rPr>
        <w:t>2, obteve-se os valores d</w:t>
      </w:r>
      <w:r w:rsidRPr="006A635B">
        <w:rPr>
          <w:lang w:eastAsia="en-US"/>
        </w:rPr>
        <w:t>o quadro 1.</w:t>
      </w:r>
    </w:p>
    <w:p w:rsidR="006A0C06" w:rsidRPr="009534AF" w:rsidRDefault="006A0C06" w:rsidP="006B3D4B">
      <w:pPr>
        <w:jc w:val="both"/>
        <w:rPr>
          <w:lang w:eastAsia="en-US"/>
        </w:rPr>
      </w:pPr>
    </w:p>
    <w:p w:rsidR="006A0C06" w:rsidRDefault="006A0C06" w:rsidP="006B3D4B">
      <w:pPr>
        <w:jc w:val="both"/>
      </w:pPr>
      <w:r>
        <w:tab/>
        <w:t>O quadro 1 também mostra a transformação de rotação do motor em freqüência (freqüência = rotações por segundo). Esta freqüência determina o momento da injeção de combustível. Por se tratar de um motor quatro tempos onde a injeção ocorre a cada duas voltas do eixo, a freqüência foi dividida por dois.</w:t>
      </w:r>
    </w:p>
    <w:p w:rsidR="006A0C06" w:rsidRDefault="006A0C06" w:rsidP="006B3D4B">
      <w:pPr>
        <w:jc w:val="both"/>
      </w:pPr>
      <w:r>
        <w:rPr>
          <w:noProof/>
        </w:rPr>
        <w:pict>
          <v:shape id="_x0000_s1033" type="#_x0000_t202" style="position:absolute;left:0;text-align:left;margin-left:43.5pt;margin-top:9pt;width:398.55pt;height:24.55pt;z-index:251653120" stroked="f">
            <v:textbox style="mso-next-textbox:#_x0000_s1033">
              <w:txbxContent>
                <w:p w:rsidR="006A0C06" w:rsidRPr="006B3D4B" w:rsidRDefault="006A0C06" w:rsidP="00590F79">
                  <w:pPr>
                    <w:spacing w:after="160" w:line="360" w:lineRule="auto"/>
                    <w:jc w:val="both"/>
                    <w:rPr>
                      <w:rFonts w:cs="Arial"/>
                    </w:rPr>
                  </w:pPr>
                  <w:r w:rsidRPr="006B3D4B">
                    <w:rPr>
                      <w:rFonts w:cs="Arial"/>
                    </w:rPr>
                    <w:t>Quadro 1 – Vazão</w:t>
                  </w:r>
                  <w:r>
                    <w:rPr>
                      <w:rFonts w:cs="Arial"/>
                    </w:rPr>
                    <w:t xml:space="preserve"> necessária </w:t>
                  </w:r>
                  <w:r w:rsidRPr="006B3D4B">
                    <w:rPr>
                      <w:rFonts w:cs="Arial"/>
                    </w:rPr>
                    <w:t>para uma mistura ideal a determinadas rotações</w:t>
                  </w:r>
                </w:p>
                <w:p w:rsidR="006A0C06" w:rsidRDefault="006A0C06" w:rsidP="00590F79">
                  <w:pPr>
                    <w:jc w:val="both"/>
                  </w:pPr>
                </w:p>
              </w:txbxContent>
            </v:textbox>
            <w10:wrap type="square"/>
          </v:shape>
        </w:pict>
      </w:r>
    </w:p>
    <w:p w:rsidR="006A0C06" w:rsidRPr="006A635B" w:rsidRDefault="006A0C06" w:rsidP="00761F69">
      <w:pPr>
        <w:spacing w:after="120"/>
        <w:jc w:val="both"/>
      </w:pPr>
    </w:p>
    <w:tbl>
      <w:tblPr>
        <w:tblpPr w:leftFromText="141" w:rightFromText="141" w:vertAnchor="text" w:tblpXSpec="center" w:tblpY="1"/>
        <w:tblW w:w="5508" w:type="dxa"/>
        <w:tblBorders>
          <w:top w:val="single" w:sz="12" w:space="0" w:color="008000"/>
          <w:bottom w:val="single" w:sz="12" w:space="0" w:color="008000"/>
        </w:tblBorders>
        <w:tblLook w:val="00A0"/>
      </w:tblPr>
      <w:tblGrid>
        <w:gridCol w:w="1630"/>
        <w:gridCol w:w="1800"/>
        <w:gridCol w:w="2078"/>
      </w:tblGrid>
      <w:tr w:rsidR="006A0C06" w:rsidRPr="006A635B" w:rsidTr="006B3D4B">
        <w:trPr>
          <w:trHeight w:val="508"/>
        </w:trPr>
        <w:tc>
          <w:tcPr>
            <w:tcW w:w="1630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3366"/>
                <w:lang w:eastAsia="ja-JP"/>
              </w:rPr>
            </w:pPr>
            <w:r w:rsidRPr="006A635B">
              <w:rPr>
                <w:color w:val="003366"/>
                <w:lang w:eastAsia="ja-JP"/>
              </w:rPr>
              <w:t>Rotação (rpm)</w:t>
            </w:r>
          </w:p>
        </w:tc>
        <w:tc>
          <w:tcPr>
            <w:tcW w:w="1800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3366"/>
                <w:lang w:eastAsia="ja-JP"/>
              </w:rPr>
            </w:pPr>
            <w:r w:rsidRPr="006A635B">
              <w:rPr>
                <w:color w:val="003366"/>
                <w:lang w:eastAsia="ja-JP"/>
              </w:rPr>
              <w:t>Frequência (Hz)</w:t>
            </w:r>
          </w:p>
        </w:tc>
        <w:tc>
          <w:tcPr>
            <w:tcW w:w="2078" w:type="dxa"/>
            <w:tcBorders>
              <w:top w:val="single" w:sz="12" w:space="0" w:color="008000"/>
              <w:bottom w:val="single" w:sz="6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3366"/>
                <w:lang w:eastAsia="ja-JP"/>
              </w:rPr>
            </w:pPr>
            <w:r w:rsidRPr="006A635B">
              <w:rPr>
                <w:color w:val="003366"/>
                <w:lang w:eastAsia="ja-JP"/>
              </w:rPr>
              <w:t>Vazão de gasolina (ml/min)</w:t>
            </w:r>
          </w:p>
        </w:tc>
      </w:tr>
      <w:tr w:rsidR="006A0C06" w:rsidRPr="006A635B" w:rsidTr="006B3D4B">
        <w:trPr>
          <w:trHeight w:val="300"/>
        </w:trPr>
        <w:tc>
          <w:tcPr>
            <w:tcW w:w="163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2000</w:t>
            </w:r>
          </w:p>
        </w:tc>
        <w:tc>
          <w:tcPr>
            <w:tcW w:w="180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16,67</w:t>
            </w:r>
          </w:p>
        </w:tc>
        <w:tc>
          <w:tcPr>
            <w:tcW w:w="2078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2,19000</w:t>
            </w:r>
          </w:p>
        </w:tc>
      </w:tr>
      <w:tr w:rsidR="006A0C06" w:rsidRPr="006A635B" w:rsidTr="006B3D4B">
        <w:trPr>
          <w:trHeight w:val="300"/>
        </w:trPr>
        <w:tc>
          <w:tcPr>
            <w:tcW w:w="163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3000</w:t>
            </w:r>
          </w:p>
        </w:tc>
        <w:tc>
          <w:tcPr>
            <w:tcW w:w="180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25,1</w:t>
            </w:r>
          </w:p>
        </w:tc>
        <w:tc>
          <w:tcPr>
            <w:tcW w:w="2078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3,29967</w:t>
            </w:r>
          </w:p>
        </w:tc>
      </w:tr>
      <w:tr w:rsidR="006A0C06" w:rsidRPr="006A635B" w:rsidTr="006B3D4B">
        <w:trPr>
          <w:trHeight w:val="300"/>
        </w:trPr>
        <w:tc>
          <w:tcPr>
            <w:tcW w:w="163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4000</w:t>
            </w:r>
          </w:p>
        </w:tc>
        <w:tc>
          <w:tcPr>
            <w:tcW w:w="180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33,39</w:t>
            </w:r>
          </w:p>
        </w:tc>
        <w:tc>
          <w:tcPr>
            <w:tcW w:w="2078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4,39956</w:t>
            </w:r>
          </w:p>
        </w:tc>
      </w:tr>
      <w:tr w:rsidR="006A0C06" w:rsidRPr="006A635B" w:rsidTr="006B3D4B">
        <w:trPr>
          <w:trHeight w:val="300"/>
        </w:trPr>
        <w:tc>
          <w:tcPr>
            <w:tcW w:w="163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5000</w:t>
            </w:r>
          </w:p>
        </w:tc>
        <w:tc>
          <w:tcPr>
            <w:tcW w:w="1800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41,9</w:t>
            </w:r>
          </w:p>
        </w:tc>
        <w:tc>
          <w:tcPr>
            <w:tcW w:w="2078" w:type="dxa"/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5,49945</w:t>
            </w:r>
          </w:p>
        </w:tc>
      </w:tr>
      <w:tr w:rsidR="006A0C06" w:rsidRPr="006A635B" w:rsidTr="006B3D4B">
        <w:trPr>
          <w:trHeight w:val="300"/>
        </w:trPr>
        <w:tc>
          <w:tcPr>
            <w:tcW w:w="1630" w:type="dxa"/>
            <w:tcBorders>
              <w:bottom w:val="single" w:sz="12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6000</w:t>
            </w:r>
          </w:p>
        </w:tc>
        <w:tc>
          <w:tcPr>
            <w:tcW w:w="1800" w:type="dxa"/>
            <w:tcBorders>
              <w:bottom w:val="single" w:sz="12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50,00</w:t>
            </w:r>
          </w:p>
        </w:tc>
        <w:tc>
          <w:tcPr>
            <w:tcW w:w="2078" w:type="dxa"/>
            <w:tcBorders>
              <w:bottom w:val="single" w:sz="12" w:space="0" w:color="008000"/>
            </w:tcBorders>
            <w:noWrap/>
            <w:vAlign w:val="center"/>
          </w:tcPr>
          <w:p w:rsidR="006A0C06" w:rsidRPr="006A635B" w:rsidRDefault="006A0C06" w:rsidP="00761F69">
            <w:pPr>
              <w:spacing w:after="120"/>
              <w:jc w:val="center"/>
              <w:rPr>
                <w:color w:val="000000"/>
                <w:lang w:eastAsia="ja-JP"/>
              </w:rPr>
            </w:pPr>
            <w:r w:rsidRPr="006A635B">
              <w:rPr>
                <w:color w:val="000000"/>
                <w:lang w:eastAsia="ja-JP"/>
              </w:rPr>
              <w:t>6,59934</w:t>
            </w:r>
          </w:p>
        </w:tc>
      </w:tr>
    </w:tbl>
    <w:p w:rsidR="006A0C06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</w:pPr>
    </w:p>
    <w:p w:rsidR="006A0C06" w:rsidRPr="006A635B" w:rsidRDefault="006A0C06" w:rsidP="00761F69">
      <w:pPr>
        <w:spacing w:after="120"/>
        <w:jc w:val="both"/>
      </w:pP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34" type="#_x0000_t202" style="position:absolute;left:0;text-align:left;margin-left:1in;margin-top:1.85pt;width:108pt;height:19.05pt;z-index:251667456" stroked="f">
            <v:textbox style="mso-next-textbox:#_x0000_s1034">
              <w:txbxContent>
                <w:p w:rsidR="006A0C06" w:rsidRPr="0056225C" w:rsidRDefault="006A0C06" w:rsidP="0056225C">
                  <w:r w:rsidRPr="0056225C">
                    <w:t>Fonte - Própria</w:t>
                  </w:r>
                </w:p>
              </w:txbxContent>
            </v:textbox>
          </v:shape>
        </w:pict>
      </w: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</w:p>
    <w:p w:rsidR="006A0C06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</w:p>
    <w:p w:rsidR="006A0C06" w:rsidRPr="00BC6008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 w:rsidRPr="00BC6008">
        <w:rPr>
          <w:rFonts w:ascii="Times New Roman" w:hAnsi="Times New Roman"/>
          <w:b/>
        </w:rPr>
        <w:t xml:space="preserve">4.2 ENSAIO </w:t>
      </w:r>
      <w:r>
        <w:rPr>
          <w:rFonts w:ascii="Times New Roman" w:hAnsi="Times New Roman"/>
          <w:b/>
        </w:rPr>
        <w:t>COM</w:t>
      </w:r>
      <w:r w:rsidRPr="00BC6008">
        <w:rPr>
          <w:rFonts w:ascii="Times New Roman" w:hAnsi="Times New Roman"/>
          <w:b/>
        </w:rPr>
        <w:t xml:space="preserve"> BICO INJETOR DE CARRO</w:t>
      </w:r>
    </w:p>
    <w:p w:rsidR="006A0C06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56225C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ab/>
      </w:r>
      <w:r w:rsidRPr="00BF69EC">
        <w:rPr>
          <w:rFonts w:ascii="Times New Roman" w:hAnsi="Times New Roman"/>
        </w:rPr>
        <w:t>O ensaio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</w:rPr>
        <w:t>foi feito baseado nas rotações mais utilizadas pelo carro de economia. Para cada freqüência foram feitas três medidas. A média das três medidas foi utilizada nos cálculos seguintes.</w:t>
      </w:r>
    </w:p>
    <w:p w:rsidR="006A0C06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35" type="#_x0000_t202" style="position:absolute;left:0;text-align:left;margin-left:83.85pt;margin-top:3.6pt;width:310.7pt;height:24.8pt;z-index:251652096" stroked="f">
            <v:textbox style="mso-next-textbox:#_x0000_s1035">
              <w:txbxContent>
                <w:p w:rsidR="006A0C06" w:rsidRPr="0056225C" w:rsidRDefault="006A0C06" w:rsidP="00590F79">
                  <w:pPr>
                    <w:pStyle w:val="REAd-Marcador2"/>
                    <w:numPr>
                      <w:ilvl w:val="0"/>
                      <w:numId w:val="0"/>
                    </w:numPr>
                    <w:spacing w:after="120" w:line="300" w:lineRule="auto"/>
                    <w:jc w:val="both"/>
                    <w:rPr>
                      <w:rFonts w:ascii="Times New Roman" w:hAnsi="Times New Roman"/>
                    </w:rPr>
                  </w:pPr>
                  <w:r w:rsidRPr="0056225C">
                    <w:rPr>
                      <w:rFonts w:ascii="Times New Roman" w:hAnsi="Times New Roman"/>
                    </w:rPr>
                    <w:t>Quadro 2 – Dados do primeiro ensaio de vazão</w:t>
                  </w:r>
                </w:p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Pr="006A635B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36" type="#_x0000_t202" style="position:absolute;left:0;text-align:left;margin-left:-290.45pt;margin-top:191.05pt;width:108pt;height:19.05pt;z-index:251656192" stroked="f">
            <v:textbox style="mso-next-textbox:#_x0000_s1036">
              <w:txbxContent>
                <w:p w:rsidR="006A0C06" w:rsidRPr="0056225C" w:rsidRDefault="006A0C06" w:rsidP="00590F79">
                  <w:r w:rsidRPr="0056225C">
                    <w:t>Fonte - Própria</w:t>
                  </w:r>
                </w:p>
              </w:txbxContent>
            </v:textbox>
          </v:shape>
        </w:pict>
      </w:r>
    </w:p>
    <w:p w:rsidR="006A0C06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37" type="#_x0000_t202" style="position:absolute;left:0;text-align:left;margin-left:27.3pt;margin-top:162.5pt;width:108pt;height:27.1pt;z-index:251659264" stroked="f">
            <v:textbox>
              <w:txbxContent>
                <w:p w:rsidR="006A0C06" w:rsidRPr="0056225C" w:rsidRDefault="006A0C06" w:rsidP="00590F79">
                  <w:r w:rsidRPr="0056225C">
                    <w:t>Fonte - Própria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9.15pt;margin-top:.8pt;width:448.85pt;height:156.5pt;z-index:251648000" stroked="f">
            <v:textbox style="mso-next-textbox:#_x0000_s1038">
              <w:txbxContent>
                <w:tbl>
                  <w:tblPr>
                    <w:tblW w:w="8557" w:type="dxa"/>
                    <w:jc w:val="center"/>
                    <w:tblBorders>
                      <w:top w:val="single" w:sz="12" w:space="0" w:color="008000"/>
                      <w:bottom w:val="single" w:sz="12" w:space="0" w:color="008000"/>
                    </w:tblBorders>
                    <w:tblLook w:val="0000"/>
                  </w:tblPr>
                  <w:tblGrid>
                    <w:gridCol w:w="1205"/>
                    <w:gridCol w:w="2131"/>
                    <w:gridCol w:w="1890"/>
                    <w:gridCol w:w="1303"/>
                    <w:gridCol w:w="1169"/>
                    <w:gridCol w:w="866"/>
                  </w:tblGrid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Frequência (Hz)</w:t>
                        </w:r>
                      </w:p>
                    </w:tc>
                    <w:tc>
                      <w:tcPr>
                        <w:tcW w:w="2131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Tempo de Abertura do Bico</w:t>
                        </w:r>
                      </w:p>
                    </w:tc>
                    <w:tc>
                      <w:tcPr>
                        <w:tcW w:w="1890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Duração do Ensaio (segundos)</w:t>
                        </w:r>
                      </w:p>
                    </w:tc>
                    <w:tc>
                      <w:tcPr>
                        <w:tcW w:w="1303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Massa(g)</w:t>
                        </w:r>
                      </w:p>
                    </w:tc>
                    <w:tc>
                      <w:tcPr>
                        <w:tcW w:w="1169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Massa Média (g)</w:t>
                        </w:r>
                      </w:p>
                    </w:tc>
                    <w:tc>
                      <w:tcPr>
                        <w:tcW w:w="859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20"/>
                            <w:szCs w:val="20"/>
                          </w:rPr>
                          <w:t>Vazão (g/min)</w:t>
                        </w: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25,10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5,614</w:t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5,4617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10,9234</w:t>
                        </w: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25,10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5,074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25,10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5,800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25,10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5,359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33,39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7,503</w:t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7,4753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14,9506</w:t>
                        </w: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33,39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7,272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33,39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7,651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41,90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9,336</w:t>
                        </w:r>
                      </w:p>
                    </w:tc>
                    <w:tc>
                      <w:tcPr>
                        <w:tcW w:w="116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9,4353</w:t>
                        </w:r>
                      </w:p>
                    </w:tc>
                    <w:tc>
                      <w:tcPr>
                        <w:tcW w:w="859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18,8706</w:t>
                        </w: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41,90</w:t>
                        </w:r>
                      </w:p>
                    </w:tc>
                    <w:tc>
                      <w:tcPr>
                        <w:tcW w:w="2131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9,220</w:t>
                        </w:r>
                      </w:p>
                    </w:tc>
                    <w:tc>
                      <w:tcPr>
                        <w:tcW w:w="116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  <w:tr w:rsidR="006A0C06" w:rsidRPr="00CA06B7" w:rsidTr="0056225C">
                    <w:trPr>
                      <w:trHeight w:val="249"/>
                      <w:jc w:val="center"/>
                    </w:trPr>
                    <w:tc>
                      <w:tcPr>
                        <w:tcW w:w="1205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41,90</w:t>
                        </w:r>
                      </w:p>
                    </w:tc>
                    <w:tc>
                      <w:tcPr>
                        <w:tcW w:w="2131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2,0 ms</w:t>
                        </w:r>
                      </w:p>
                    </w:tc>
                    <w:tc>
                      <w:tcPr>
                        <w:tcW w:w="1890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30</w:t>
                        </w:r>
                      </w:p>
                    </w:tc>
                    <w:tc>
                      <w:tcPr>
                        <w:tcW w:w="1303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  <w:r w:rsidRPr="00CA06B7">
                          <w:rPr>
                            <w:rFonts w:cs="Arial"/>
                            <w:sz w:val="20"/>
                            <w:szCs w:val="20"/>
                          </w:rPr>
                          <w:t>9,750</w:t>
                        </w:r>
                      </w:p>
                    </w:tc>
                    <w:tc>
                      <w:tcPr>
                        <w:tcW w:w="1169" w:type="dxa"/>
                        <w:vMerge/>
                        <w:tcBorders>
                          <w:bottom w:val="single" w:sz="12" w:space="0" w:color="008000"/>
                        </w:tcBorders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859" w:type="dxa"/>
                        <w:vMerge/>
                        <w:tcBorders>
                          <w:bottom w:val="single" w:sz="12" w:space="0" w:color="008000"/>
                        </w:tcBorders>
                        <w:vAlign w:val="center"/>
                      </w:tcPr>
                      <w:p w:rsidR="006A0C06" w:rsidRPr="00CA06B7" w:rsidRDefault="006A0C06" w:rsidP="00CA06B7">
                        <w:pPr>
                          <w:jc w:val="center"/>
                          <w:rPr>
                            <w:rFonts w:cs="Arial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9534AF" w:rsidRDefault="006A0C06" w:rsidP="0056225C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4.3 ENSAIO COM</w:t>
      </w:r>
      <w:r w:rsidRPr="009534AF">
        <w:rPr>
          <w:rFonts w:ascii="Times New Roman" w:hAnsi="Times New Roman"/>
          <w:b/>
        </w:rPr>
        <w:t xml:space="preserve"> BICO INJETOR DE MOTO</w:t>
      </w:r>
    </w:p>
    <w:p w:rsidR="006A0C06" w:rsidRDefault="006A0C06" w:rsidP="009534AF">
      <w:pPr>
        <w:jc w:val="both"/>
      </w:pPr>
    </w:p>
    <w:p w:rsidR="006A0C06" w:rsidRDefault="006A0C06" w:rsidP="009534AF">
      <w:pPr>
        <w:jc w:val="both"/>
      </w:pPr>
      <w:r>
        <w:tab/>
        <w:t>O mesmo procedimento foi utilizado para o bico injetor de moto.</w:t>
      </w:r>
    </w:p>
    <w:p w:rsidR="006A0C06" w:rsidRPr="006A635B" w:rsidRDefault="006A0C06" w:rsidP="009534AF">
      <w:pPr>
        <w:jc w:val="both"/>
      </w:pPr>
      <w:r>
        <w:rPr>
          <w:noProof/>
        </w:rPr>
        <w:pict>
          <v:shape id="_x0000_s1039" type="#_x0000_t202" style="position:absolute;left:0;text-align:left;margin-left:8.4pt;margin-top:12.7pt;width:310.7pt;height:23.35pt;z-index:251658240" stroked="f">
            <v:textbox style="mso-next-textbox:#_x0000_s1039">
              <w:txbxContent>
                <w:p w:rsidR="006A0C06" w:rsidRPr="00180767" w:rsidRDefault="006A0C06" w:rsidP="00590F79">
                  <w:pPr>
                    <w:pStyle w:val="REAd-Marcador2"/>
                    <w:numPr>
                      <w:ilvl w:val="0"/>
                      <w:numId w:val="0"/>
                    </w:numPr>
                    <w:spacing w:after="120" w:line="300" w:lineRule="auto"/>
                    <w:jc w:val="both"/>
                    <w:rPr>
                      <w:rFonts w:ascii="Times New Roman" w:hAnsi="Times New Roman"/>
                    </w:rPr>
                  </w:pPr>
                  <w:r w:rsidRPr="00180767">
                    <w:rPr>
                      <w:rFonts w:ascii="Times New Roman" w:hAnsi="Times New Roman"/>
                    </w:rPr>
                    <w:t>Quadro 3 – Dados do segundo ensaio de vazão</w:t>
                  </w:r>
                </w:p>
                <w:p w:rsidR="006A0C06" w:rsidRDefault="006A0C06" w:rsidP="00590F79"/>
              </w:txbxContent>
            </v:textbox>
            <w10:wrap type="square"/>
          </v:shape>
        </w:pict>
      </w:r>
      <w:r>
        <w:rPr>
          <w:noProof/>
        </w:rPr>
        <w:pict>
          <v:shape id="_x0000_s1040" type="#_x0000_t202" style="position:absolute;left:0;text-align:left;margin-left:0;margin-top:38.05pt;width:450pt;height:222.05pt;z-index:251649024" stroked="f">
            <v:textbox style="mso-next-textbox:#_x0000_s1040">
              <w:txbxContent>
                <w:tbl>
                  <w:tblPr>
                    <w:tblW w:w="8861" w:type="dxa"/>
                    <w:jc w:val="center"/>
                    <w:tblBorders>
                      <w:top w:val="single" w:sz="12" w:space="0" w:color="008000"/>
                      <w:bottom w:val="single" w:sz="12" w:space="0" w:color="008000"/>
                    </w:tblBorders>
                    <w:tblLook w:val="0000"/>
                  </w:tblPr>
                  <w:tblGrid>
                    <w:gridCol w:w="1156"/>
                    <w:gridCol w:w="2057"/>
                    <w:gridCol w:w="1868"/>
                    <w:gridCol w:w="1440"/>
                    <w:gridCol w:w="1260"/>
                    <w:gridCol w:w="1080"/>
                  </w:tblGrid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Frequência (Hz)</w:t>
                        </w:r>
                      </w:p>
                    </w:tc>
                    <w:tc>
                      <w:tcPr>
                        <w:tcW w:w="2057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Tempo de Abertura do Bico</w:t>
                        </w:r>
                      </w:p>
                    </w:tc>
                    <w:tc>
                      <w:tcPr>
                        <w:tcW w:w="1868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Duração do Ensaio (segundos)</w:t>
                        </w:r>
                      </w:p>
                    </w:tc>
                    <w:tc>
                      <w:tcPr>
                        <w:tcW w:w="1440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Massa(g)</w:t>
                        </w:r>
                      </w:p>
                    </w:tc>
                    <w:tc>
                      <w:tcPr>
                        <w:tcW w:w="1260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Massa Média (g)</w:t>
                        </w:r>
                      </w:p>
                    </w:tc>
                    <w:tc>
                      <w:tcPr>
                        <w:tcW w:w="1080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Vazão (g/min)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16.67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4,718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4,791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9,582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16.67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4,743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16.67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4,911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25,10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4,802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4,855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9,71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25,10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4,81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25,10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4,953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33,39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6,471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6,371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12,742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33,39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6,25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33,39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6,392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41,90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8,502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8,395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16,79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41,90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8,39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41,90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8,293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9,495</w:t>
                        </w:r>
                      </w:p>
                    </w:tc>
                    <w:tc>
                      <w:tcPr>
                        <w:tcW w:w="126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9,612</w:t>
                        </w:r>
                      </w:p>
                    </w:tc>
                    <w:tc>
                      <w:tcPr>
                        <w:tcW w:w="1080" w:type="dxa"/>
                        <w:vMerge w:val="restart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19,224</w:t>
                        </w: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  <w:tc>
                      <w:tcPr>
                        <w:tcW w:w="2057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9,561</w:t>
                        </w:r>
                      </w:p>
                    </w:tc>
                    <w:tc>
                      <w:tcPr>
                        <w:tcW w:w="126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  <w:tr w:rsidR="006A0C06" w:rsidRPr="00CA06B7" w:rsidTr="00180767">
                    <w:trPr>
                      <w:trHeight w:val="255"/>
                      <w:jc w:val="center"/>
                    </w:trPr>
                    <w:tc>
                      <w:tcPr>
                        <w:tcW w:w="1156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50,00</w:t>
                        </w:r>
                      </w:p>
                    </w:tc>
                    <w:tc>
                      <w:tcPr>
                        <w:tcW w:w="2057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2,0 ms</w:t>
                        </w:r>
                      </w:p>
                    </w:tc>
                    <w:tc>
                      <w:tcPr>
                        <w:tcW w:w="1868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30</w:t>
                        </w:r>
                      </w:p>
                    </w:tc>
                    <w:tc>
                      <w:tcPr>
                        <w:tcW w:w="1440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  <w:r w:rsidRPr="00CA06B7">
                          <w:rPr>
                            <w:rFonts w:cs="Arial"/>
                            <w:sz w:val="18"/>
                            <w:szCs w:val="18"/>
                          </w:rPr>
                          <w:t>9,781</w:t>
                        </w:r>
                      </w:p>
                    </w:tc>
                    <w:tc>
                      <w:tcPr>
                        <w:tcW w:w="1260" w:type="dxa"/>
                        <w:vMerge/>
                        <w:tcBorders>
                          <w:bottom w:val="single" w:sz="12" w:space="0" w:color="008000"/>
                        </w:tcBorders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  <w:tc>
                      <w:tcPr>
                        <w:tcW w:w="1080" w:type="dxa"/>
                        <w:vMerge/>
                        <w:tcBorders>
                          <w:bottom w:val="single" w:sz="12" w:space="0" w:color="008000"/>
                        </w:tcBorders>
                        <w:vAlign w:val="center"/>
                      </w:tcPr>
                      <w:p w:rsidR="006A0C06" w:rsidRPr="00CA06B7" w:rsidRDefault="006A0C06" w:rsidP="00CA06B7">
                        <w:pPr>
                          <w:spacing w:after="100" w:afterAutospacing="1"/>
                          <w:jc w:val="center"/>
                          <w:rPr>
                            <w:rFonts w:cs="Arial"/>
                            <w:sz w:val="18"/>
                            <w:szCs w:val="18"/>
                          </w:rPr>
                        </w:pPr>
                      </w:p>
                    </w:tc>
                  </w:tr>
                </w:tbl>
                <w:p w:rsidR="006A0C06" w:rsidRPr="00CE2654" w:rsidRDefault="006A0C06" w:rsidP="00590F79">
                  <w:pPr>
                    <w:jc w:val="center"/>
                    <w:rPr>
                      <w:rFonts w:cs="Arial"/>
                      <w:sz w:val="18"/>
                      <w:szCs w:val="18"/>
                    </w:rPr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  <w:p w:rsidR="006A0C06" w:rsidRDefault="006A0C06" w:rsidP="00590F79">
                  <w:pPr>
                    <w:jc w:val="center"/>
                  </w:pPr>
                </w:p>
              </w:txbxContent>
            </v:textbox>
            <w10:wrap type="square"/>
          </v:shape>
        </w:pict>
      </w:r>
    </w:p>
    <w:p w:rsidR="006A0C06" w:rsidRPr="006A635B" w:rsidRDefault="006A0C06" w:rsidP="009534AF">
      <w:pPr>
        <w:jc w:val="both"/>
      </w:pPr>
      <w:r>
        <w:rPr>
          <w:noProof/>
        </w:rPr>
        <w:pict>
          <v:shape id="_x0000_s1041" type="#_x0000_t202" style="position:absolute;left:0;text-align:left;margin-left:-319.8pt;margin-top:246.3pt;width:108pt;height:22.55pt;z-index:251657216" stroked="f">
            <v:textbox style="mso-next-textbox:#_x0000_s1041">
              <w:txbxContent>
                <w:p w:rsidR="006A0C06" w:rsidRPr="00180767" w:rsidRDefault="006A0C06" w:rsidP="00590F79">
                  <w:r w:rsidRPr="00180767">
                    <w:t>Fonte - Própria</w:t>
                  </w:r>
                </w:p>
              </w:txbxContent>
            </v:textbox>
          </v:shape>
        </w:pict>
      </w:r>
    </w:p>
    <w:p w:rsidR="006A0C06" w:rsidRPr="006A635B" w:rsidRDefault="006A0C06" w:rsidP="009534AF">
      <w:pPr>
        <w:jc w:val="both"/>
      </w:pPr>
    </w:p>
    <w:p w:rsidR="006A0C06" w:rsidRPr="006A635B" w:rsidRDefault="006A0C06" w:rsidP="009534AF">
      <w:pPr>
        <w:jc w:val="both"/>
      </w:pP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5. ANÁLISE</w:t>
      </w:r>
    </w:p>
    <w:p w:rsidR="006A0C06" w:rsidRPr="006A635B" w:rsidRDefault="006A0C06" w:rsidP="00761F69">
      <w:pPr>
        <w:pStyle w:val="REAd-Marcador2"/>
        <w:numPr>
          <w:ilvl w:val="0"/>
          <w:numId w:val="0"/>
        </w:numPr>
        <w:spacing w:after="1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>Para uma comparação entre a vazão teórica</w:t>
      </w:r>
      <w:r w:rsidRPr="006A63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(necessária) </w:t>
      </w:r>
      <w:r w:rsidRPr="006A635B">
        <w:rPr>
          <w:rFonts w:ascii="Times New Roman" w:hAnsi="Times New Roman"/>
        </w:rPr>
        <w:t xml:space="preserve">e as </w:t>
      </w:r>
      <w:r>
        <w:rPr>
          <w:rFonts w:ascii="Times New Roman" w:hAnsi="Times New Roman"/>
        </w:rPr>
        <w:t>obtidas experimentalmente, necessita-se uma transformar as</w:t>
      </w:r>
      <w:r w:rsidRPr="006A635B">
        <w:rPr>
          <w:rFonts w:ascii="Times New Roman" w:hAnsi="Times New Roman"/>
        </w:rPr>
        <w:t xml:space="preserve"> unidades</w:t>
      </w:r>
      <w:r>
        <w:rPr>
          <w:rFonts w:ascii="Times New Roman" w:hAnsi="Times New Roman"/>
        </w:rPr>
        <w:t xml:space="preserve"> conforme equação 3</w:t>
      </w:r>
      <w:r w:rsidRPr="006A635B">
        <w:rPr>
          <w:rFonts w:ascii="Times New Roman" w:hAnsi="Times New Roman"/>
        </w:rPr>
        <w:t xml:space="preserve">, uma vez que </w:t>
      </w:r>
      <w:r>
        <w:rPr>
          <w:rFonts w:ascii="Times New Roman" w:hAnsi="Times New Roman"/>
        </w:rPr>
        <w:t xml:space="preserve">a vazão experimental </w:t>
      </w:r>
      <w:r w:rsidRPr="006A635B">
        <w:rPr>
          <w:rFonts w:ascii="Times New Roman" w:hAnsi="Times New Roman"/>
        </w:rPr>
        <w:t xml:space="preserve"> em gramas por minutos e a vazão teó</w:t>
      </w:r>
      <w:r>
        <w:rPr>
          <w:rFonts w:ascii="Times New Roman" w:hAnsi="Times New Roman"/>
        </w:rPr>
        <w:t>rica está em</w:t>
      </w:r>
      <w:r w:rsidRPr="006A635B">
        <w:rPr>
          <w:rFonts w:ascii="Times New Roman" w:hAnsi="Times New Roman"/>
        </w:rPr>
        <w:t xml:space="preserve"> mililitros por minuto. </w: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2" type="#_x0000_t75" style="position:absolute;left:0;text-align:left;margin-left:63pt;margin-top:11.7pt;width:153.6pt;height:34.5pt;z-index:251661312">
            <v:imagedata r:id="rId13" o:title=""/>
            <w10:wrap type="square"/>
          </v:shape>
          <o:OLEObject Type="Embed" ProgID="Equation.3" ShapeID="_x0000_s1042" DrawAspect="Content" ObjectID="_1343157692" r:id="rId14"/>
        </w:pict>
      </w: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(3)</w:t>
      </w: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  <w:r w:rsidRPr="006A635B">
        <w:rPr>
          <w:rFonts w:ascii="Times New Roman" w:hAnsi="Times New Roman"/>
        </w:rPr>
        <w:t>Onde:</w: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</w:rPr>
      </w:pPr>
      <w:r w:rsidRPr="006A635B">
        <w:rPr>
          <w:rFonts w:ascii="Times New Roman" w:hAnsi="Times New Roman"/>
        </w:rPr>
        <w:tab/>
        <w:t xml:space="preserve"> Densidade = 0,742 g/ml   (Densidade da Gasolina Petrobrás Premium)</w: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3" type="#_x0000_t202" style="position:absolute;left:0;text-align:left;margin-left:77.75pt;margin-top:10.2pt;width:372.25pt;height:23.45pt;z-index:251663360" stroked="f">
            <v:textbox style="mso-next-textbox:#_x0000_s1043">
              <w:txbxContent>
                <w:p w:rsidR="006A0C06" w:rsidRPr="004D000F" w:rsidRDefault="006A0C06" w:rsidP="00590F79">
                  <w:pPr>
                    <w:pStyle w:val="REAd-Marcador2"/>
                    <w:numPr>
                      <w:ilvl w:val="0"/>
                      <w:numId w:val="0"/>
                    </w:numPr>
                    <w:spacing w:after="120" w:line="300" w:lineRule="auto"/>
                    <w:jc w:val="both"/>
                    <w:rPr>
                      <w:rFonts w:ascii="Times New Roman" w:hAnsi="Times New Roman"/>
                    </w:rPr>
                  </w:pPr>
                  <w:r w:rsidRPr="004D000F">
                    <w:rPr>
                      <w:rFonts w:ascii="Times New Roman" w:hAnsi="Times New Roman"/>
                    </w:rPr>
                    <w:t>Quadro 4 – Vazão experimental em ml/min para Bico Injetor de Carro</w:t>
                  </w:r>
                </w:p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4" type="#_x0000_t202" style="position:absolute;left:0;text-align:left;margin-left:110.1pt;margin-top:3.7pt;width:243pt;height:63pt;z-index:251664384" stroked="f">
            <v:textbox>
              <w:txbxContent>
                <w:tbl>
                  <w:tblPr>
                    <w:tblW w:w="4672" w:type="dxa"/>
                    <w:jc w:val="center"/>
                    <w:tblBorders>
                      <w:top w:val="single" w:sz="12" w:space="0" w:color="008000"/>
                      <w:bottom w:val="single" w:sz="12" w:space="0" w:color="008000"/>
                    </w:tblBorders>
                    <w:tblLook w:val="0000"/>
                  </w:tblPr>
                  <w:tblGrid>
                    <w:gridCol w:w="2216"/>
                    <w:gridCol w:w="2456"/>
                  </w:tblGrid>
                  <w:tr w:rsidR="006A0C06" w:rsidRPr="00037692" w:rsidTr="00C5767D">
                    <w:trPr>
                      <w:trHeight w:val="285"/>
                      <w:jc w:val="center"/>
                    </w:trPr>
                    <w:tc>
                      <w:tcPr>
                        <w:tcW w:w="2216" w:type="dxa"/>
                        <w:tcBorders>
                          <w:top w:val="single" w:sz="12" w:space="0" w:color="008000"/>
                        </w:tcBorders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3366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Rotação (rpm)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sz="12" w:space="0" w:color="008000"/>
                        </w:tcBorders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3366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Vazão de gasolina (ml/min)</w:t>
                        </w:r>
                      </w:p>
                    </w:tc>
                  </w:tr>
                  <w:tr w:rsidR="006A0C06" w:rsidRPr="00037692" w:rsidTr="00C5767D">
                    <w:trPr>
                      <w:trHeight w:val="255"/>
                      <w:jc w:val="center"/>
                    </w:trPr>
                    <w:tc>
                      <w:tcPr>
                        <w:tcW w:w="2216" w:type="dxa"/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  <w:tc>
                      <w:tcPr>
                        <w:tcW w:w="2456" w:type="dxa"/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14,7216</w:t>
                        </w:r>
                      </w:p>
                    </w:tc>
                  </w:tr>
                  <w:tr w:rsidR="006A0C06" w:rsidRPr="00037692" w:rsidTr="00C5767D">
                    <w:trPr>
                      <w:trHeight w:val="255"/>
                      <w:jc w:val="center"/>
                    </w:trPr>
                    <w:tc>
                      <w:tcPr>
                        <w:tcW w:w="2216" w:type="dxa"/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4000</w:t>
                        </w:r>
                      </w:p>
                    </w:tc>
                    <w:tc>
                      <w:tcPr>
                        <w:tcW w:w="2456" w:type="dxa"/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20,1490</w:t>
                        </w:r>
                      </w:p>
                    </w:tc>
                  </w:tr>
                  <w:tr w:rsidR="006A0C06" w:rsidRPr="00037692" w:rsidTr="00C5767D">
                    <w:trPr>
                      <w:trHeight w:val="255"/>
                      <w:jc w:val="center"/>
                    </w:trPr>
                    <w:tc>
                      <w:tcPr>
                        <w:tcW w:w="2216" w:type="dxa"/>
                        <w:tcBorders>
                          <w:bottom w:val="single" w:sz="12" w:space="0" w:color="008000"/>
                        </w:tcBorders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5000</w:t>
                        </w:r>
                      </w:p>
                    </w:tc>
                    <w:tc>
                      <w:tcPr>
                        <w:tcW w:w="2456" w:type="dxa"/>
                        <w:tcBorders>
                          <w:bottom w:val="single" w:sz="12" w:space="0" w:color="008000"/>
                        </w:tcBorders>
                        <w:noWrap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25,4321</w:t>
                        </w:r>
                      </w:p>
                    </w:tc>
                  </w:tr>
                </w:tbl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5" type="#_x0000_t202" style="position:absolute;left:0;text-align:left;margin-left:97.4pt;margin-top:11.5pt;width:108pt;height:21.65pt;z-index:251660288" stroked="f">
            <v:textbox style="mso-next-textbox:#_x0000_s1045">
              <w:txbxContent>
                <w:p w:rsidR="006A0C06" w:rsidRPr="004D000F" w:rsidRDefault="006A0C06" w:rsidP="00590F79">
                  <w:r w:rsidRPr="004D000F">
                    <w:t>Fonte - Própria</w:t>
                  </w:r>
                </w:p>
              </w:txbxContent>
            </v:textbox>
          </v:shape>
        </w:pict>
      </w: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6" type="#_x0000_t202" style="position:absolute;left:0;text-align:left;margin-left:77.75pt;margin-top:6.75pt;width:354.25pt;height:24.45pt;z-index:251665408" stroked="f">
            <v:textbox style="mso-next-textbox:#_x0000_s1046">
              <w:txbxContent>
                <w:p w:rsidR="006A0C06" w:rsidRPr="004D000F" w:rsidRDefault="006A0C06" w:rsidP="004D000F">
                  <w:pPr>
                    <w:pStyle w:val="REAd-Marcador2"/>
                    <w:numPr>
                      <w:ilvl w:val="0"/>
                      <w:numId w:val="0"/>
                    </w:numPr>
                    <w:jc w:val="both"/>
                    <w:rPr>
                      <w:rFonts w:ascii="Times New Roman" w:hAnsi="Times New Roman"/>
                    </w:rPr>
                  </w:pPr>
                  <w:r w:rsidRPr="004D000F">
                    <w:rPr>
                      <w:rFonts w:ascii="Times New Roman" w:hAnsi="Times New Roman"/>
                    </w:rPr>
                    <w:t>Quadro 5 – Vazão experimental em ml/min para Bico Injetor de Moto</w:t>
                  </w:r>
                </w:p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7" type="#_x0000_t202" style="position:absolute;left:0;text-align:left;margin-left:107.2pt;margin-top:9.15pt;width:243pt;height:93.95pt;z-index:251662336" stroked="f">
            <v:textbox>
              <w:txbxContent>
                <w:tbl>
                  <w:tblPr>
                    <w:tblW w:w="4672" w:type="dxa"/>
                    <w:tblBorders>
                      <w:top w:val="single" w:sz="12" w:space="0" w:color="008000"/>
                      <w:bottom w:val="single" w:sz="12" w:space="0" w:color="008000"/>
                    </w:tblBorders>
                    <w:tblLook w:val="0000"/>
                  </w:tblPr>
                  <w:tblGrid>
                    <w:gridCol w:w="2216"/>
                    <w:gridCol w:w="2456"/>
                  </w:tblGrid>
                  <w:tr w:rsidR="006A0C06" w:rsidRPr="00175022" w:rsidTr="00C5767D">
                    <w:trPr>
                      <w:trHeight w:val="285"/>
                    </w:trPr>
                    <w:tc>
                      <w:tcPr>
                        <w:tcW w:w="2216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3366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Rotação (rpm)</w:t>
                        </w:r>
                      </w:p>
                    </w:tc>
                    <w:tc>
                      <w:tcPr>
                        <w:tcW w:w="2456" w:type="dxa"/>
                        <w:tcBorders>
                          <w:top w:val="single" w:sz="12" w:space="0" w:color="008000"/>
                        </w:tcBorders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3366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cs="Arial"/>
                            <w:color w:val="003366"/>
                            <w:sz w:val="18"/>
                            <w:szCs w:val="18"/>
                          </w:rPr>
                          <w:t>Vazão de gasolina (ml/min)</w:t>
                        </w:r>
                      </w:p>
                    </w:tc>
                  </w:tr>
                  <w:tr w:rsidR="006A0C06" w:rsidRPr="00175022" w:rsidTr="00C5767D">
                    <w:trPr>
                      <w:trHeight w:val="255"/>
                    </w:trPr>
                    <w:tc>
                      <w:tcPr>
                        <w:tcW w:w="221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2000</w:t>
                        </w:r>
                      </w:p>
                    </w:tc>
                    <w:tc>
                      <w:tcPr>
                        <w:tcW w:w="245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12,9137</w:t>
                        </w:r>
                      </w:p>
                    </w:tc>
                  </w:tr>
                  <w:tr w:rsidR="006A0C06" w:rsidRPr="00175022" w:rsidTr="00C5767D">
                    <w:trPr>
                      <w:trHeight w:val="255"/>
                    </w:trPr>
                    <w:tc>
                      <w:tcPr>
                        <w:tcW w:w="221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3000</w:t>
                        </w:r>
                      </w:p>
                    </w:tc>
                    <w:tc>
                      <w:tcPr>
                        <w:tcW w:w="245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13,0863</w:t>
                        </w:r>
                      </w:p>
                    </w:tc>
                  </w:tr>
                  <w:tr w:rsidR="006A0C06" w:rsidRPr="00175022" w:rsidTr="00C5767D">
                    <w:trPr>
                      <w:trHeight w:val="255"/>
                    </w:trPr>
                    <w:tc>
                      <w:tcPr>
                        <w:tcW w:w="221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4000</w:t>
                        </w:r>
                      </w:p>
                    </w:tc>
                    <w:tc>
                      <w:tcPr>
                        <w:tcW w:w="245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17,1725</w:t>
                        </w:r>
                      </w:p>
                    </w:tc>
                  </w:tr>
                  <w:tr w:rsidR="006A0C06" w:rsidRPr="00175022" w:rsidTr="00C5767D">
                    <w:trPr>
                      <w:trHeight w:val="255"/>
                    </w:trPr>
                    <w:tc>
                      <w:tcPr>
                        <w:tcW w:w="221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5000</w:t>
                        </w:r>
                      </w:p>
                    </w:tc>
                    <w:tc>
                      <w:tcPr>
                        <w:tcW w:w="2456" w:type="dxa"/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22,628</w:t>
                        </w:r>
                      </w:p>
                    </w:tc>
                  </w:tr>
                  <w:tr w:rsidR="006A0C06" w:rsidRPr="00175022" w:rsidTr="00C5767D">
                    <w:trPr>
                      <w:trHeight w:val="270"/>
                    </w:trPr>
                    <w:tc>
                      <w:tcPr>
                        <w:tcW w:w="2216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 w:rsidRPr="00C5767D"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  <w:t>6000</w:t>
                        </w:r>
                      </w:p>
                    </w:tc>
                    <w:tc>
                      <w:tcPr>
                        <w:tcW w:w="2456" w:type="dxa"/>
                        <w:tcBorders>
                          <w:bottom w:val="single" w:sz="12" w:space="0" w:color="008000"/>
                        </w:tcBorders>
                        <w:noWrap/>
                        <w:vAlign w:val="center"/>
                      </w:tcPr>
                      <w:p w:rsidR="006A0C06" w:rsidRPr="00C5767D" w:rsidRDefault="006A0C06" w:rsidP="00C5767D">
                        <w:pPr>
                          <w:jc w:val="center"/>
                          <w:rPr>
                            <w:rFonts w:ascii="Arial" w:hAnsi="Arial" w:cs="Arial"/>
                            <w:sz w:val="20"/>
                            <w:szCs w:val="20"/>
                          </w:rPr>
                        </w:pPr>
                        <w:r w:rsidRPr="00C5767D">
                          <w:rPr>
                            <w:rFonts w:ascii="Arial" w:hAnsi="Arial" w:cs="Arial"/>
                            <w:sz w:val="20"/>
                            <w:szCs w:val="20"/>
                          </w:rPr>
                          <w:t>25,9083</w:t>
                        </w:r>
                      </w:p>
                    </w:tc>
                  </w:tr>
                </w:tbl>
                <w:p w:rsidR="006A0C06" w:rsidRDefault="006A0C06" w:rsidP="00590F79"/>
              </w:txbxContent>
            </v:textbox>
            <w10:wrap type="square"/>
          </v:shape>
        </w:pict>
      </w: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</w:p>
    <w:p w:rsidR="006A0C06" w:rsidRPr="006A635B" w:rsidRDefault="006A0C06" w:rsidP="004D000F">
      <w:pPr>
        <w:pStyle w:val="REAd-Marcador2"/>
        <w:numPr>
          <w:ilvl w:val="0"/>
          <w:numId w:val="0"/>
        </w:numPr>
        <w:jc w:val="both"/>
        <w:rPr>
          <w:rFonts w:ascii="Times New Roman" w:hAnsi="Times New Roman"/>
          <w:b/>
        </w:rPr>
      </w:pPr>
      <w:r>
        <w:rPr>
          <w:noProof/>
        </w:rPr>
        <w:pict>
          <v:shape id="_x0000_s1048" type="#_x0000_t202" style="position:absolute;left:0;text-align:left;margin-left:107.2pt;margin-top:6.5pt;width:108pt;height:21.65pt;z-index:251668480" stroked="f">
            <v:textbox style="mso-next-textbox:#_x0000_s1048">
              <w:txbxContent>
                <w:p w:rsidR="006A0C06" w:rsidRPr="004D000F" w:rsidRDefault="006A0C06" w:rsidP="00A90FCC">
                  <w:r w:rsidRPr="004D000F">
                    <w:t>Fonte - Própria</w:t>
                  </w:r>
                </w:p>
              </w:txbxContent>
            </v:textbox>
          </v:shape>
        </w:pict>
      </w:r>
    </w:p>
    <w:p w:rsidR="006A0C06" w:rsidRDefault="006A0C06" w:rsidP="00A90FCC">
      <w:pPr>
        <w:tabs>
          <w:tab w:val="left" w:pos="2051"/>
        </w:tabs>
        <w:jc w:val="both"/>
        <w:rPr>
          <w:b/>
          <w:lang w:eastAsia="en-US"/>
        </w:rPr>
      </w:pPr>
    </w:p>
    <w:p w:rsidR="006A0C06" w:rsidRPr="006A635B" w:rsidRDefault="006A0C06" w:rsidP="00A90FCC">
      <w:pPr>
        <w:jc w:val="both"/>
        <w:rPr>
          <w:b/>
          <w:lang w:eastAsia="en-US"/>
        </w:rPr>
      </w:pPr>
    </w:p>
    <w:p w:rsidR="006A0C06" w:rsidRDefault="006A0C06" w:rsidP="00A90FCC">
      <w:pPr>
        <w:jc w:val="both"/>
        <w:rPr>
          <w:lang w:eastAsia="en-US"/>
        </w:rPr>
      </w:pPr>
      <w:r>
        <w:rPr>
          <w:lang w:eastAsia="en-US"/>
        </w:rPr>
        <w:tab/>
        <w:t>Analisando-se os resultados do Quadro</w:t>
      </w:r>
      <w:r w:rsidRPr="006A635B">
        <w:rPr>
          <w:lang w:eastAsia="en-US"/>
        </w:rPr>
        <w:t xml:space="preserve"> 1 </w:t>
      </w:r>
      <w:r>
        <w:rPr>
          <w:lang w:eastAsia="en-US"/>
        </w:rPr>
        <w:t xml:space="preserve">valores teóricos das vazões necessárias </w:t>
      </w:r>
      <w:r w:rsidRPr="006A635B">
        <w:rPr>
          <w:lang w:eastAsia="en-US"/>
        </w:rPr>
        <w:t xml:space="preserve">e </w:t>
      </w:r>
      <w:r>
        <w:rPr>
          <w:lang w:eastAsia="en-US"/>
        </w:rPr>
        <w:t>os quadros 4 e 5, verifica</w:t>
      </w:r>
      <w:r w:rsidRPr="006A635B">
        <w:rPr>
          <w:lang w:eastAsia="en-US"/>
        </w:rPr>
        <w:t>-se que a</w:t>
      </w:r>
      <w:r>
        <w:rPr>
          <w:lang w:eastAsia="en-US"/>
        </w:rPr>
        <w:t>s vazões</w:t>
      </w:r>
      <w:r w:rsidRPr="006A635B">
        <w:rPr>
          <w:lang w:eastAsia="en-US"/>
        </w:rPr>
        <w:t xml:space="preserve"> obtida</w:t>
      </w:r>
      <w:r>
        <w:rPr>
          <w:lang w:eastAsia="en-US"/>
        </w:rPr>
        <w:t>s com a utilização do</w:t>
      </w:r>
      <w:r w:rsidRPr="006A635B">
        <w:rPr>
          <w:lang w:eastAsia="en-US"/>
        </w:rPr>
        <w:t xml:space="preserve"> bicos injetores </w:t>
      </w:r>
      <w:r>
        <w:rPr>
          <w:lang w:eastAsia="en-US"/>
        </w:rPr>
        <w:t xml:space="preserve">tanto de carro como de moto seriam maiores que o realmente necessário para o funcionamento </w:t>
      </w:r>
      <w:r w:rsidRPr="006A635B">
        <w:rPr>
          <w:lang w:eastAsia="en-US"/>
        </w:rPr>
        <w:t>do motor Honda GX 22.</w:t>
      </w:r>
    </w:p>
    <w:p w:rsidR="006A0C06" w:rsidRDefault="006A0C06" w:rsidP="00A90FCC">
      <w:pPr>
        <w:jc w:val="both"/>
        <w:rPr>
          <w:lang w:eastAsia="en-US"/>
        </w:rPr>
      </w:pPr>
    </w:p>
    <w:p w:rsidR="006A0C06" w:rsidRPr="00F63C30" w:rsidRDefault="006A0C06" w:rsidP="00A90FCC">
      <w:pPr>
        <w:jc w:val="both"/>
        <w:rPr>
          <w:b/>
          <w:lang w:eastAsia="en-US"/>
        </w:rPr>
      </w:pPr>
      <w:r>
        <w:rPr>
          <w:b/>
          <w:lang w:eastAsia="en-US"/>
        </w:rPr>
        <w:t>6 - CONCLUSÃO</w:t>
      </w:r>
    </w:p>
    <w:p w:rsidR="006A0C06" w:rsidRDefault="006A0C06" w:rsidP="00A90FCC">
      <w:pPr>
        <w:jc w:val="both"/>
        <w:rPr>
          <w:lang w:eastAsia="en-US"/>
        </w:rPr>
      </w:pPr>
    </w:p>
    <w:p w:rsidR="006A0C06" w:rsidRDefault="006A0C06" w:rsidP="00A90FCC">
      <w:pPr>
        <w:jc w:val="both"/>
        <w:rPr>
          <w:lang w:eastAsia="en-US"/>
        </w:rPr>
      </w:pPr>
      <w:r w:rsidRPr="006A635B">
        <w:rPr>
          <w:lang w:eastAsia="en-US"/>
        </w:rPr>
        <w:tab/>
        <w:t>Existe a possibilidade de uma eventual</w:t>
      </w:r>
      <w:r>
        <w:rPr>
          <w:lang w:eastAsia="en-US"/>
        </w:rPr>
        <w:t xml:space="preserve"> pesquisa mais aprofundada</w:t>
      </w:r>
      <w:r w:rsidRPr="006A635B">
        <w:rPr>
          <w:lang w:eastAsia="en-US"/>
        </w:rPr>
        <w:t xml:space="preserve"> </w:t>
      </w:r>
      <w:r>
        <w:rPr>
          <w:lang w:eastAsia="en-US"/>
        </w:rPr>
        <w:t>n</w:t>
      </w:r>
      <w:r w:rsidRPr="006A635B">
        <w:rPr>
          <w:lang w:eastAsia="en-US"/>
        </w:rPr>
        <w:t>a construção de um circuito eletrônico que possua a capacidade de fornecer tempos de aberturas do bico inferiores a 2 milisegundos</w:t>
      </w:r>
      <w:r>
        <w:rPr>
          <w:lang w:eastAsia="en-US"/>
        </w:rPr>
        <w:t>.</w:t>
      </w:r>
    </w:p>
    <w:p w:rsidR="006A0C06" w:rsidRDefault="006A0C06" w:rsidP="00A90FCC">
      <w:pPr>
        <w:jc w:val="both"/>
        <w:rPr>
          <w:lang w:eastAsia="en-US"/>
        </w:rPr>
      </w:pPr>
      <w:r>
        <w:rPr>
          <w:lang w:eastAsia="en-US"/>
        </w:rPr>
        <w:tab/>
        <w:t>Outra possibilidade é reduzir a pressão no sistema, tomando-se o cuidado de não permitir o gotejamento do combustível no bico injetor.</w:t>
      </w:r>
    </w:p>
    <w:p w:rsidR="006A0C06" w:rsidRDefault="006A0C06" w:rsidP="00A90FCC">
      <w:pPr>
        <w:jc w:val="both"/>
        <w:rPr>
          <w:lang w:eastAsia="en-US"/>
        </w:rPr>
      </w:pPr>
    </w:p>
    <w:p w:rsidR="006A0C06" w:rsidRPr="006A635B" w:rsidRDefault="006A0C06" w:rsidP="00A90FCC">
      <w:pPr>
        <w:jc w:val="both"/>
        <w:rPr>
          <w:lang w:eastAsia="en-US"/>
        </w:rPr>
      </w:pPr>
      <w:r w:rsidRPr="006A635B">
        <w:rPr>
          <w:lang w:eastAsia="en-US"/>
        </w:rPr>
        <w:tab/>
        <w:t>Por fim</w:t>
      </w:r>
      <w:r>
        <w:rPr>
          <w:lang w:eastAsia="en-US"/>
        </w:rPr>
        <w:t>,</w:t>
      </w:r>
      <w:r w:rsidRPr="006A635B">
        <w:rPr>
          <w:lang w:eastAsia="en-US"/>
        </w:rPr>
        <w:t xml:space="preserve"> concluiu-se</w:t>
      </w:r>
      <w:r>
        <w:rPr>
          <w:lang w:eastAsia="en-US"/>
        </w:rPr>
        <w:t>,</w:t>
      </w:r>
      <w:r w:rsidRPr="006A635B">
        <w:rPr>
          <w:lang w:eastAsia="en-US"/>
        </w:rPr>
        <w:t xml:space="preserve"> que para as co</w:t>
      </w:r>
      <w:r>
        <w:rPr>
          <w:lang w:eastAsia="en-US"/>
        </w:rPr>
        <w:t>ndições de operação d</w:t>
      </w:r>
      <w:r w:rsidRPr="006A635B">
        <w:rPr>
          <w:lang w:eastAsia="en-US"/>
        </w:rPr>
        <w:t>os testes efetuados</w:t>
      </w:r>
      <w:r>
        <w:rPr>
          <w:lang w:eastAsia="en-US"/>
        </w:rPr>
        <w:t xml:space="preserve"> na bancada de ensaios,</w:t>
      </w:r>
      <w:r w:rsidRPr="006A635B">
        <w:rPr>
          <w:lang w:eastAsia="en-US"/>
        </w:rPr>
        <w:t xml:space="preserve"> os dois tipos de bicos injetores </w:t>
      </w:r>
      <w:r>
        <w:rPr>
          <w:lang w:eastAsia="en-US"/>
        </w:rPr>
        <w:t xml:space="preserve">carro e moto, </w:t>
      </w:r>
      <w:r w:rsidRPr="006A635B">
        <w:rPr>
          <w:lang w:eastAsia="en-US"/>
        </w:rPr>
        <w:t xml:space="preserve">não podem ser empregados para a alimentação do motor Honda GX 22 </w:t>
      </w:r>
      <w:r>
        <w:rPr>
          <w:lang w:eastAsia="en-US"/>
        </w:rPr>
        <w:t>pois tem uma vazão muito acima da necessidade o que comprometeria o funcionamento do motor.</w:t>
      </w:r>
    </w:p>
    <w:p w:rsidR="006A0C06" w:rsidRDefault="006A0C06" w:rsidP="00A90FCC">
      <w:pPr>
        <w:jc w:val="both"/>
        <w:rPr>
          <w:b/>
        </w:rPr>
      </w:pPr>
    </w:p>
    <w:p w:rsidR="006A0C06" w:rsidRPr="006A635B" w:rsidRDefault="006A0C06" w:rsidP="00761F69">
      <w:pPr>
        <w:spacing w:after="120"/>
        <w:jc w:val="both"/>
        <w:rPr>
          <w:b/>
        </w:rPr>
      </w:pPr>
      <w:r w:rsidRPr="006A635B">
        <w:rPr>
          <w:b/>
        </w:rPr>
        <w:t xml:space="preserve">REFERÊNCIAS </w:t>
      </w:r>
    </w:p>
    <w:p w:rsidR="006A0C06" w:rsidRPr="006A635B" w:rsidRDefault="006A0C06" w:rsidP="00761F69">
      <w:pPr>
        <w:spacing w:after="120"/>
        <w:ind w:firstLine="708"/>
        <w:jc w:val="both"/>
      </w:pPr>
    </w:p>
    <w:p w:rsidR="006A0C06" w:rsidRPr="006A635B" w:rsidRDefault="006A0C06" w:rsidP="00761F69">
      <w:pPr>
        <w:autoSpaceDE w:val="0"/>
        <w:autoSpaceDN w:val="0"/>
        <w:adjustRightInd w:val="0"/>
        <w:spacing w:after="120"/>
      </w:pPr>
      <w:r>
        <w:t>BALANÇO ENERGÉTICO NACIONAL 2010: Ano base 2009</w:t>
      </w:r>
      <w:r w:rsidRPr="006A635B">
        <w:t>: Resultados Preliminares / Ministério de Minas e Energia. Empresa de Pesquisa Energéti</w:t>
      </w:r>
      <w:r>
        <w:t>ca. – Rio de Janeiro : EPE, 2010</w:t>
      </w:r>
      <w:r w:rsidRPr="006A635B">
        <w:t>.</w:t>
      </w:r>
    </w:p>
    <w:p w:rsidR="006A0C06" w:rsidRPr="006A635B" w:rsidRDefault="006A0C06" w:rsidP="00761F69">
      <w:pPr>
        <w:spacing w:after="120"/>
      </w:pPr>
      <w:r w:rsidRPr="006A635B">
        <w:t>BOSCH, Linha de injeção e ignição eletrônica, catálogo, 2002 &lt;</w:t>
      </w:r>
      <w:hyperlink r:id="rId15" w:history="1">
        <w:r w:rsidRPr="006A635B">
          <w:rPr>
            <w:rStyle w:val="Hyperlink"/>
          </w:rPr>
          <w:t>http://www.bosch.com.br/br/autopecas/arquivosCatalogo/injecao_2002.pdf</w:t>
        </w:r>
      </w:hyperlink>
      <w:r w:rsidRPr="006A635B">
        <w:t>&gt; capturado em 15/11/2007</w:t>
      </w:r>
    </w:p>
    <w:p w:rsidR="006A0C06" w:rsidRPr="006A635B" w:rsidRDefault="006A0C06" w:rsidP="00761F69">
      <w:pPr>
        <w:autoSpaceDE w:val="0"/>
        <w:autoSpaceDN w:val="0"/>
        <w:adjustRightInd w:val="0"/>
        <w:spacing w:after="120"/>
        <w:rPr>
          <w:lang w:val="en-US"/>
        </w:rPr>
      </w:pPr>
      <w:r w:rsidRPr="006A635B">
        <w:rPr>
          <w:lang w:val="en-US"/>
        </w:rPr>
        <w:t xml:space="preserve">HEISLER, Heinz </w:t>
      </w:r>
      <w:r w:rsidRPr="006A635B">
        <w:rPr>
          <w:b/>
          <w:lang w:val="en-US"/>
        </w:rPr>
        <w:t>Advanced engine technology</w:t>
      </w:r>
      <w:r w:rsidRPr="006A635B">
        <w:rPr>
          <w:lang w:val="en-US"/>
        </w:rPr>
        <w:t>, SAE international 1995</w:t>
      </w:r>
    </w:p>
    <w:p w:rsidR="006A0C06" w:rsidRPr="006A635B" w:rsidRDefault="006A0C06" w:rsidP="00761F69">
      <w:pPr>
        <w:spacing w:after="120"/>
      </w:pPr>
      <w:r w:rsidRPr="006A635B">
        <w:t xml:space="preserve">PUGLIESI, Márcio, </w:t>
      </w:r>
      <w:r w:rsidRPr="006A635B">
        <w:rPr>
          <w:b/>
        </w:rPr>
        <w:t>Manual Completo do Automóvel</w:t>
      </w:r>
      <w:r w:rsidRPr="006A635B">
        <w:t>, Hemus 1998.</w:t>
      </w:r>
    </w:p>
    <w:p w:rsidR="006A0C06" w:rsidRPr="006A635B" w:rsidRDefault="006A0C06" w:rsidP="00761F69">
      <w:pPr>
        <w:spacing w:after="120"/>
      </w:pPr>
      <w:r w:rsidRPr="006A635B">
        <w:t xml:space="preserve">PINTO, Cláudio M. Engler, </w:t>
      </w:r>
      <w:r w:rsidRPr="006A635B">
        <w:rPr>
          <w:b/>
        </w:rPr>
        <w:t>Gerenciamento de Sistema de Injeção Eletrônica em Motores de Ignição por Centelha</w:t>
      </w:r>
      <w:r w:rsidRPr="006A635B">
        <w:t>, apresentação em power point, 2005 &lt;</w:t>
      </w:r>
      <w:hyperlink r:id="rId16" w:history="1">
        <w:r w:rsidRPr="006A635B">
          <w:rPr>
            <w:rStyle w:val="Hyperlink"/>
            <w:bCs/>
          </w:rPr>
          <w:t>www.fem.unicamp.br/~em672/Engler.ppt</w:t>
        </w:r>
      </w:hyperlink>
      <w:r w:rsidRPr="006A635B">
        <w:rPr>
          <w:color w:val="000000"/>
        </w:rPr>
        <w:t>&gt; capturado em 15/11/2007</w:t>
      </w:r>
    </w:p>
    <w:p w:rsidR="006A0C06" w:rsidRPr="006A635B" w:rsidRDefault="006A0C06" w:rsidP="00761F69">
      <w:pPr>
        <w:spacing w:after="120"/>
        <w:rPr>
          <w:lang w:val="en-US"/>
        </w:rPr>
      </w:pPr>
      <w:r w:rsidRPr="006A635B">
        <w:rPr>
          <w:lang w:val="en-US"/>
        </w:rPr>
        <w:t xml:space="preserve">STONE, Richard; BALL, Jeffrey K. </w:t>
      </w:r>
      <w:r w:rsidRPr="006A635B">
        <w:rPr>
          <w:b/>
          <w:lang w:val="en-US"/>
        </w:rPr>
        <w:t xml:space="preserve">Automotive engineering fundamentals, </w:t>
      </w:r>
      <w:r w:rsidRPr="006A635B">
        <w:rPr>
          <w:lang w:val="en-US"/>
        </w:rPr>
        <w:t>USA, SAE international, 2004</w:t>
      </w:r>
    </w:p>
    <w:p w:rsidR="006A0C06" w:rsidRDefault="006A0C06" w:rsidP="0060454F">
      <w:pPr>
        <w:jc w:val="both"/>
        <w:rPr>
          <w:rFonts w:cs="Arial"/>
          <w:b/>
          <w:i/>
          <w:sz w:val="22"/>
          <w:szCs w:val="22"/>
          <w:lang w:val="en-US"/>
        </w:rPr>
      </w:pPr>
    </w:p>
    <w:p w:rsidR="006A0C06" w:rsidRDefault="006A0C06" w:rsidP="0060454F">
      <w:pPr>
        <w:jc w:val="center"/>
        <w:rPr>
          <w:rStyle w:val="shorttext1"/>
          <w:rFonts w:ascii="Arial" w:hAnsi="Arial" w:cs="Arial"/>
          <w:b/>
          <w:color w:val="000000"/>
          <w:shd w:val="clear" w:color="auto" w:fill="EBEFF9"/>
          <w:lang w:val="en-US"/>
        </w:rPr>
      </w:pPr>
      <w:r w:rsidRPr="0060454F">
        <w:rPr>
          <w:rStyle w:val="shorttext1"/>
          <w:rFonts w:ascii="Arial" w:hAnsi="Arial" w:cs="Arial"/>
          <w:b/>
          <w:color w:val="000000"/>
          <w:shd w:val="clear" w:color="auto" w:fill="EBEFF9"/>
          <w:lang w:val="en-US"/>
        </w:rPr>
        <w:t>TEST FLOW IN AUTOMOBILE FUEL INJECTOR</w:t>
      </w:r>
    </w:p>
    <w:p w:rsidR="006A0C06" w:rsidRPr="0060454F" w:rsidRDefault="006A0C06" w:rsidP="0060454F">
      <w:pPr>
        <w:jc w:val="center"/>
        <w:rPr>
          <w:rFonts w:cs="Arial"/>
          <w:b/>
          <w:i/>
          <w:sz w:val="22"/>
          <w:szCs w:val="22"/>
          <w:lang w:val="en-US"/>
        </w:rPr>
      </w:pPr>
    </w:p>
    <w:p w:rsidR="006A0C06" w:rsidRPr="0060454F" w:rsidRDefault="006A0C06" w:rsidP="0060454F">
      <w:pPr>
        <w:jc w:val="both"/>
        <w:rPr>
          <w:rFonts w:cs="Arial"/>
          <w:b/>
          <w:i/>
          <w:sz w:val="22"/>
          <w:szCs w:val="22"/>
          <w:lang w:val="en-US"/>
        </w:rPr>
      </w:pPr>
      <w:r w:rsidRPr="008B0D55">
        <w:rPr>
          <w:rFonts w:cs="Arial"/>
          <w:b/>
          <w:i/>
          <w:sz w:val="22"/>
          <w:szCs w:val="22"/>
          <w:lang w:val="en-US"/>
        </w:rPr>
        <w:t>Abstract:</w:t>
      </w:r>
      <w:r>
        <w:rPr>
          <w:rFonts w:cs="Arial"/>
          <w:b/>
          <w:i/>
          <w:sz w:val="22"/>
          <w:szCs w:val="22"/>
          <w:lang w:val="en-US"/>
        </w:rPr>
        <w:t xml:space="preserve"> </w:t>
      </w:r>
      <w:r w:rsidRPr="008B0D55">
        <w:rPr>
          <w:rFonts w:cs="Arial"/>
          <w:i/>
          <w:sz w:val="22"/>
          <w:szCs w:val="22"/>
          <w:lang w:val="en-US"/>
        </w:rPr>
        <w:t>This work aims to analyze the flow in the injection nozzles for car and motorcycle and verify the possibi</w:t>
      </w:r>
      <w:r>
        <w:rPr>
          <w:rFonts w:cs="Arial"/>
          <w:i/>
          <w:sz w:val="22"/>
          <w:szCs w:val="22"/>
          <w:lang w:val="en-US"/>
        </w:rPr>
        <w:t>lity of its application in a small</w:t>
      </w:r>
      <w:r w:rsidRPr="008B0D55">
        <w:rPr>
          <w:rFonts w:cs="Arial"/>
          <w:i/>
          <w:sz w:val="22"/>
          <w:szCs w:val="22"/>
          <w:lang w:val="en-US"/>
        </w:rPr>
        <w:t xml:space="preserve"> </w:t>
      </w:r>
      <w:r>
        <w:rPr>
          <w:rFonts w:cs="Arial"/>
          <w:i/>
          <w:sz w:val="22"/>
          <w:szCs w:val="22"/>
          <w:lang w:val="en-US"/>
        </w:rPr>
        <w:t>displacement engine</w:t>
      </w:r>
      <w:r w:rsidRPr="008B0D55">
        <w:rPr>
          <w:rFonts w:cs="Arial"/>
          <w:i/>
          <w:sz w:val="22"/>
          <w:szCs w:val="22"/>
          <w:lang w:val="en-US"/>
        </w:rPr>
        <w:t xml:space="preserve"> used </w:t>
      </w:r>
      <w:r>
        <w:rPr>
          <w:rFonts w:cs="Arial"/>
          <w:i/>
          <w:sz w:val="22"/>
          <w:szCs w:val="22"/>
          <w:lang w:val="en-US"/>
        </w:rPr>
        <w:t xml:space="preserve">in the </w:t>
      </w:r>
      <w:r w:rsidRPr="008B0D55">
        <w:rPr>
          <w:rFonts w:cs="Arial"/>
          <w:i/>
          <w:sz w:val="22"/>
          <w:szCs w:val="22"/>
          <w:lang w:val="en-US"/>
        </w:rPr>
        <w:t xml:space="preserve">car </w:t>
      </w:r>
      <w:r>
        <w:rPr>
          <w:rFonts w:cs="Arial"/>
          <w:i/>
          <w:sz w:val="22"/>
          <w:szCs w:val="22"/>
          <w:lang w:val="en-US"/>
        </w:rPr>
        <w:t xml:space="preserve">that participate  in the </w:t>
      </w:r>
      <w:r w:rsidRPr="008B0D55">
        <w:rPr>
          <w:rFonts w:cs="Arial"/>
          <w:i/>
          <w:sz w:val="22"/>
          <w:szCs w:val="22"/>
          <w:lang w:val="en-US"/>
        </w:rPr>
        <w:t>competition</w:t>
      </w:r>
      <w:r>
        <w:rPr>
          <w:rFonts w:cs="Arial"/>
          <w:i/>
          <w:sz w:val="22"/>
          <w:szCs w:val="22"/>
          <w:lang w:val="en-US"/>
        </w:rPr>
        <w:t xml:space="preserve"> named marathon</w:t>
      </w:r>
      <w:r w:rsidRPr="008B0D55">
        <w:rPr>
          <w:rFonts w:cs="Arial"/>
          <w:i/>
          <w:sz w:val="22"/>
          <w:szCs w:val="22"/>
          <w:lang w:val="en-US"/>
        </w:rPr>
        <w:t xml:space="preserve"> of energy efficiency. Searches were made on the operation of combustion engines and nozzles. Based on data collected, was built a test bench to check the flow. After testing it was verified that with the pre set parameters, both nozzles, car and motorcycle has flow</w:t>
      </w:r>
      <w:r>
        <w:rPr>
          <w:rFonts w:cs="Arial"/>
          <w:i/>
          <w:sz w:val="22"/>
          <w:szCs w:val="22"/>
          <w:lang w:val="en-US"/>
        </w:rPr>
        <w:t xml:space="preserve"> above than necessary for use in small displacement engine.</w:t>
      </w:r>
    </w:p>
    <w:p w:rsidR="006A0C06" w:rsidRPr="008B0D55" w:rsidRDefault="006A0C06" w:rsidP="0060454F">
      <w:pPr>
        <w:jc w:val="both"/>
        <w:rPr>
          <w:rFonts w:cs="Arial"/>
          <w:b/>
          <w:i/>
          <w:sz w:val="22"/>
          <w:szCs w:val="22"/>
          <w:lang w:val="en-US"/>
        </w:rPr>
      </w:pPr>
    </w:p>
    <w:p w:rsidR="006A0C06" w:rsidRPr="0060454F" w:rsidRDefault="006A0C06" w:rsidP="0060454F">
      <w:pPr>
        <w:jc w:val="both"/>
        <w:rPr>
          <w:i/>
          <w:lang w:val="en-US"/>
        </w:rPr>
      </w:pPr>
      <w:r w:rsidRPr="0060454F">
        <w:rPr>
          <w:rFonts w:cs="Arial"/>
          <w:b/>
          <w:i/>
          <w:sz w:val="22"/>
          <w:szCs w:val="22"/>
          <w:lang w:val="en-US"/>
        </w:rPr>
        <w:t xml:space="preserve">Key-words: </w:t>
      </w:r>
      <w:r w:rsidRPr="0060454F">
        <w:rPr>
          <w:rFonts w:cs="Arial"/>
          <w:i/>
          <w:sz w:val="22"/>
          <w:szCs w:val="22"/>
          <w:lang w:val="en-US"/>
        </w:rPr>
        <w:t xml:space="preserve">injector, </w:t>
      </w:r>
      <w:r w:rsidRPr="0060454F">
        <w:rPr>
          <w:rStyle w:val="shorttext1"/>
          <w:i/>
          <w:color w:val="000000"/>
          <w:sz w:val="24"/>
          <w:szCs w:val="24"/>
          <w:shd w:val="clear" w:color="auto" w:fill="E6ECF9"/>
          <w:lang w:val="en-US"/>
        </w:rPr>
        <w:t>internal combustion engine, fuel economy</w:t>
      </w:r>
    </w:p>
    <w:p w:rsidR="006A0C06" w:rsidRPr="006A635B" w:rsidRDefault="006A0C06" w:rsidP="0012145E">
      <w:pPr>
        <w:jc w:val="both"/>
        <w:rPr>
          <w:lang w:val="en-US"/>
        </w:rPr>
      </w:pPr>
    </w:p>
    <w:sectPr w:rsidR="006A0C06" w:rsidRPr="006A635B" w:rsidSect="00624F7E">
      <w:headerReference w:type="default" r:id="rId17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C06" w:rsidRDefault="006A0C06">
      <w:r>
        <w:separator/>
      </w:r>
    </w:p>
  </w:endnote>
  <w:endnote w:type="continuationSeparator" w:id="0">
    <w:p w:rsidR="006A0C06" w:rsidRDefault="006A0C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C06" w:rsidRDefault="006A0C06">
      <w:r>
        <w:separator/>
      </w:r>
    </w:p>
  </w:footnote>
  <w:footnote w:type="continuationSeparator" w:id="0">
    <w:p w:rsidR="006A0C06" w:rsidRDefault="006A0C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0C06" w:rsidRDefault="006A0C06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m 1" o:spid="_x0000_s2049" type="#_x0000_t75" alt="topo_timbrado_COBENGE 2010" style="position:absolute;margin-left:-90pt;margin-top:-30.45pt;width:603pt;height:128.9pt;z-index:-251656192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6F684B"/>
    <w:multiLevelType w:val="multilevel"/>
    <w:tmpl w:val="03A420C4"/>
    <w:lvl w:ilvl="0">
      <w:start w:val="1"/>
      <w:numFmt w:val="decimal"/>
      <w:pStyle w:val="Heading1"/>
      <w:lvlText w:val="%1"/>
      <w:lvlJc w:val="left"/>
      <w:pPr>
        <w:tabs>
          <w:tab w:val="num" w:pos="1141"/>
        </w:tabs>
        <w:ind w:left="1141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285"/>
        </w:tabs>
        <w:ind w:left="1285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429"/>
        </w:tabs>
        <w:ind w:left="1429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573"/>
        </w:tabs>
        <w:ind w:left="1573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717"/>
        </w:tabs>
        <w:ind w:left="1717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861"/>
        </w:tabs>
        <w:ind w:left="1861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2005"/>
        </w:tabs>
        <w:ind w:left="2005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2149"/>
        </w:tabs>
        <w:ind w:left="2149" w:hanging="1440"/>
      </w:pPr>
      <w:rPr>
        <w:rFonts w:cs="Times New Roman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93"/>
        </w:tabs>
        <w:ind w:left="2293" w:hanging="1584"/>
      </w:pPr>
      <w:rPr>
        <w:rFonts w:cs="Times New Roman"/>
      </w:rPr>
    </w:lvl>
  </w:abstractNum>
  <w:abstractNum w:abstractNumId="1">
    <w:nsid w:val="48C977E9"/>
    <w:multiLevelType w:val="hybridMultilevel"/>
    <w:tmpl w:val="EDCE981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9FD60BB"/>
    <w:multiLevelType w:val="hybridMultilevel"/>
    <w:tmpl w:val="44B65AE0"/>
    <w:lvl w:ilvl="0" w:tplc="04160003">
      <w:start w:val="1"/>
      <w:numFmt w:val="bullet"/>
      <w:lvlText w:val="o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73137A4B"/>
    <w:multiLevelType w:val="hybridMultilevel"/>
    <w:tmpl w:val="9E82617C"/>
    <w:lvl w:ilvl="0" w:tplc="8E70DEAE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E12E33E0">
      <w:start w:val="1"/>
      <w:numFmt w:val="bullet"/>
      <w:pStyle w:val="REAd-Marcador2"/>
      <w:lvlText w:val="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color w:val="auto"/>
        <w:sz w:val="24"/>
        <w:vertAlign w:val="baseline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stylePaneFormatFilter w:val="3F01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53EA8"/>
    <w:rsid w:val="00005759"/>
    <w:rsid w:val="0002740B"/>
    <w:rsid w:val="0003015D"/>
    <w:rsid w:val="00033082"/>
    <w:rsid w:val="00037692"/>
    <w:rsid w:val="0005196C"/>
    <w:rsid w:val="00053EA8"/>
    <w:rsid w:val="0006151C"/>
    <w:rsid w:val="00067B9E"/>
    <w:rsid w:val="00072887"/>
    <w:rsid w:val="000924C7"/>
    <w:rsid w:val="00092D1D"/>
    <w:rsid w:val="000962BA"/>
    <w:rsid w:val="00097260"/>
    <w:rsid w:val="000B36AF"/>
    <w:rsid w:val="000C1644"/>
    <w:rsid w:val="000C22F8"/>
    <w:rsid w:val="000C54E8"/>
    <w:rsid w:val="000F0248"/>
    <w:rsid w:val="000F1E0D"/>
    <w:rsid w:val="00115697"/>
    <w:rsid w:val="0012145E"/>
    <w:rsid w:val="00123033"/>
    <w:rsid w:val="001339F7"/>
    <w:rsid w:val="00167A38"/>
    <w:rsid w:val="00174E12"/>
    <w:rsid w:val="00175022"/>
    <w:rsid w:val="00180767"/>
    <w:rsid w:val="00182754"/>
    <w:rsid w:val="00187DC3"/>
    <w:rsid w:val="001975B5"/>
    <w:rsid w:val="001C01D2"/>
    <w:rsid w:val="001E6B1E"/>
    <w:rsid w:val="001F3BE9"/>
    <w:rsid w:val="00205054"/>
    <w:rsid w:val="00210098"/>
    <w:rsid w:val="00213E9A"/>
    <w:rsid w:val="00223020"/>
    <w:rsid w:val="002247E3"/>
    <w:rsid w:val="00244B74"/>
    <w:rsid w:val="002458F1"/>
    <w:rsid w:val="00255B01"/>
    <w:rsid w:val="002579FC"/>
    <w:rsid w:val="00263593"/>
    <w:rsid w:val="002740E3"/>
    <w:rsid w:val="002A5B23"/>
    <w:rsid w:val="002B373F"/>
    <w:rsid w:val="002B4F3F"/>
    <w:rsid w:val="002C6CC5"/>
    <w:rsid w:val="002D5C19"/>
    <w:rsid w:val="002E1629"/>
    <w:rsid w:val="002E4001"/>
    <w:rsid w:val="002E7BE1"/>
    <w:rsid w:val="002F0065"/>
    <w:rsid w:val="002F0774"/>
    <w:rsid w:val="00330CA2"/>
    <w:rsid w:val="00333240"/>
    <w:rsid w:val="00335EB8"/>
    <w:rsid w:val="00335ED7"/>
    <w:rsid w:val="00341425"/>
    <w:rsid w:val="003445B3"/>
    <w:rsid w:val="00345F88"/>
    <w:rsid w:val="003475BD"/>
    <w:rsid w:val="003504AA"/>
    <w:rsid w:val="00371FC4"/>
    <w:rsid w:val="0038506B"/>
    <w:rsid w:val="00391EE2"/>
    <w:rsid w:val="00397AB3"/>
    <w:rsid w:val="003C40EC"/>
    <w:rsid w:val="003E5E9F"/>
    <w:rsid w:val="003E65B2"/>
    <w:rsid w:val="00404C6F"/>
    <w:rsid w:val="00410A21"/>
    <w:rsid w:val="004141D2"/>
    <w:rsid w:val="00435C35"/>
    <w:rsid w:val="004374F7"/>
    <w:rsid w:val="004544C4"/>
    <w:rsid w:val="004547C7"/>
    <w:rsid w:val="00455A82"/>
    <w:rsid w:val="00461E1C"/>
    <w:rsid w:val="004717E1"/>
    <w:rsid w:val="0048274F"/>
    <w:rsid w:val="00483915"/>
    <w:rsid w:val="00487918"/>
    <w:rsid w:val="004A0A72"/>
    <w:rsid w:val="004A4635"/>
    <w:rsid w:val="004B156F"/>
    <w:rsid w:val="004B2B6C"/>
    <w:rsid w:val="004B3759"/>
    <w:rsid w:val="004B4CDB"/>
    <w:rsid w:val="004C5C7A"/>
    <w:rsid w:val="004D000F"/>
    <w:rsid w:val="004E58C5"/>
    <w:rsid w:val="00500D20"/>
    <w:rsid w:val="0050774D"/>
    <w:rsid w:val="00512616"/>
    <w:rsid w:val="0052112C"/>
    <w:rsid w:val="00523C5C"/>
    <w:rsid w:val="005253B3"/>
    <w:rsid w:val="0056225C"/>
    <w:rsid w:val="00564873"/>
    <w:rsid w:val="00565CA2"/>
    <w:rsid w:val="00566E31"/>
    <w:rsid w:val="00582240"/>
    <w:rsid w:val="0058299C"/>
    <w:rsid w:val="00590F79"/>
    <w:rsid w:val="005A15E7"/>
    <w:rsid w:val="005B6857"/>
    <w:rsid w:val="005C6A83"/>
    <w:rsid w:val="005F4D64"/>
    <w:rsid w:val="0060454F"/>
    <w:rsid w:val="00624F7E"/>
    <w:rsid w:val="00631047"/>
    <w:rsid w:val="00643B79"/>
    <w:rsid w:val="00654A0B"/>
    <w:rsid w:val="006633EA"/>
    <w:rsid w:val="00663AFC"/>
    <w:rsid w:val="00680FC4"/>
    <w:rsid w:val="006815F6"/>
    <w:rsid w:val="006A0C06"/>
    <w:rsid w:val="006A1925"/>
    <w:rsid w:val="006A2683"/>
    <w:rsid w:val="006A4D04"/>
    <w:rsid w:val="006A635B"/>
    <w:rsid w:val="006B03AA"/>
    <w:rsid w:val="006B247B"/>
    <w:rsid w:val="006B29FF"/>
    <w:rsid w:val="006B3D4B"/>
    <w:rsid w:val="006C0225"/>
    <w:rsid w:val="006E09D9"/>
    <w:rsid w:val="006E7FB5"/>
    <w:rsid w:val="007079D2"/>
    <w:rsid w:val="00733DA1"/>
    <w:rsid w:val="007424E9"/>
    <w:rsid w:val="00761F69"/>
    <w:rsid w:val="007759A7"/>
    <w:rsid w:val="00784138"/>
    <w:rsid w:val="00795C31"/>
    <w:rsid w:val="007E2F38"/>
    <w:rsid w:val="007F6BC4"/>
    <w:rsid w:val="00805469"/>
    <w:rsid w:val="00814E42"/>
    <w:rsid w:val="008253FF"/>
    <w:rsid w:val="008349B6"/>
    <w:rsid w:val="0083697E"/>
    <w:rsid w:val="008402BC"/>
    <w:rsid w:val="00845E0A"/>
    <w:rsid w:val="00860DA7"/>
    <w:rsid w:val="00865D84"/>
    <w:rsid w:val="00866003"/>
    <w:rsid w:val="008A04CB"/>
    <w:rsid w:val="008A3847"/>
    <w:rsid w:val="008B0D55"/>
    <w:rsid w:val="008B3BD0"/>
    <w:rsid w:val="008B502C"/>
    <w:rsid w:val="008C3F13"/>
    <w:rsid w:val="008D1AE4"/>
    <w:rsid w:val="008D7013"/>
    <w:rsid w:val="008F7900"/>
    <w:rsid w:val="00901ACC"/>
    <w:rsid w:val="009225B0"/>
    <w:rsid w:val="00922760"/>
    <w:rsid w:val="00926778"/>
    <w:rsid w:val="00932E2C"/>
    <w:rsid w:val="00933F85"/>
    <w:rsid w:val="009410BF"/>
    <w:rsid w:val="009417FD"/>
    <w:rsid w:val="00941E1B"/>
    <w:rsid w:val="009534AF"/>
    <w:rsid w:val="009813AC"/>
    <w:rsid w:val="00981A57"/>
    <w:rsid w:val="00984F86"/>
    <w:rsid w:val="0098556E"/>
    <w:rsid w:val="009A27D3"/>
    <w:rsid w:val="009A330C"/>
    <w:rsid w:val="009A3A3B"/>
    <w:rsid w:val="009B7F2D"/>
    <w:rsid w:val="009C4B14"/>
    <w:rsid w:val="009D23E6"/>
    <w:rsid w:val="00A002A6"/>
    <w:rsid w:val="00A169FC"/>
    <w:rsid w:val="00A20AE9"/>
    <w:rsid w:val="00A22353"/>
    <w:rsid w:val="00A22B3D"/>
    <w:rsid w:val="00A242AC"/>
    <w:rsid w:val="00A2492F"/>
    <w:rsid w:val="00A30253"/>
    <w:rsid w:val="00A43B72"/>
    <w:rsid w:val="00A461CA"/>
    <w:rsid w:val="00A4674C"/>
    <w:rsid w:val="00A51ED9"/>
    <w:rsid w:val="00A54FE2"/>
    <w:rsid w:val="00A57EA0"/>
    <w:rsid w:val="00A65B0E"/>
    <w:rsid w:val="00A71B63"/>
    <w:rsid w:val="00A80602"/>
    <w:rsid w:val="00A839A8"/>
    <w:rsid w:val="00A85E3D"/>
    <w:rsid w:val="00A90FCC"/>
    <w:rsid w:val="00AB1498"/>
    <w:rsid w:val="00AC4EE2"/>
    <w:rsid w:val="00AD1357"/>
    <w:rsid w:val="00B0598C"/>
    <w:rsid w:val="00B14606"/>
    <w:rsid w:val="00B14C55"/>
    <w:rsid w:val="00B22048"/>
    <w:rsid w:val="00B23C47"/>
    <w:rsid w:val="00B307B1"/>
    <w:rsid w:val="00B3193F"/>
    <w:rsid w:val="00B67D7F"/>
    <w:rsid w:val="00B7088D"/>
    <w:rsid w:val="00B77D64"/>
    <w:rsid w:val="00B77D8E"/>
    <w:rsid w:val="00B8132E"/>
    <w:rsid w:val="00B874DD"/>
    <w:rsid w:val="00BA070A"/>
    <w:rsid w:val="00BA365D"/>
    <w:rsid w:val="00BB4EB9"/>
    <w:rsid w:val="00BB513B"/>
    <w:rsid w:val="00BB7D62"/>
    <w:rsid w:val="00BC0186"/>
    <w:rsid w:val="00BC0896"/>
    <w:rsid w:val="00BC5D21"/>
    <w:rsid w:val="00BC6008"/>
    <w:rsid w:val="00BD5FCA"/>
    <w:rsid w:val="00BE7119"/>
    <w:rsid w:val="00BE7DEE"/>
    <w:rsid w:val="00BF69EC"/>
    <w:rsid w:val="00BF7140"/>
    <w:rsid w:val="00BF7A82"/>
    <w:rsid w:val="00C05A36"/>
    <w:rsid w:val="00C2739F"/>
    <w:rsid w:val="00C34F47"/>
    <w:rsid w:val="00C37D2B"/>
    <w:rsid w:val="00C4451B"/>
    <w:rsid w:val="00C46752"/>
    <w:rsid w:val="00C5425A"/>
    <w:rsid w:val="00C5767D"/>
    <w:rsid w:val="00C71AAF"/>
    <w:rsid w:val="00C73B91"/>
    <w:rsid w:val="00C77FAF"/>
    <w:rsid w:val="00C841DA"/>
    <w:rsid w:val="00C865E3"/>
    <w:rsid w:val="00C92EB3"/>
    <w:rsid w:val="00C94CCE"/>
    <w:rsid w:val="00CA06B7"/>
    <w:rsid w:val="00CA19B5"/>
    <w:rsid w:val="00CA2763"/>
    <w:rsid w:val="00CA4881"/>
    <w:rsid w:val="00CB6D59"/>
    <w:rsid w:val="00CE2654"/>
    <w:rsid w:val="00CF0C17"/>
    <w:rsid w:val="00CF188A"/>
    <w:rsid w:val="00D02081"/>
    <w:rsid w:val="00D124F2"/>
    <w:rsid w:val="00D30F34"/>
    <w:rsid w:val="00D3240E"/>
    <w:rsid w:val="00D72936"/>
    <w:rsid w:val="00D9333C"/>
    <w:rsid w:val="00DB1A29"/>
    <w:rsid w:val="00DE1EB4"/>
    <w:rsid w:val="00E02C4E"/>
    <w:rsid w:val="00E05C7F"/>
    <w:rsid w:val="00E27466"/>
    <w:rsid w:val="00E53B6D"/>
    <w:rsid w:val="00E53FA4"/>
    <w:rsid w:val="00E54E27"/>
    <w:rsid w:val="00E63805"/>
    <w:rsid w:val="00E7296D"/>
    <w:rsid w:val="00E82FB0"/>
    <w:rsid w:val="00E910ED"/>
    <w:rsid w:val="00E968BF"/>
    <w:rsid w:val="00EA0B4A"/>
    <w:rsid w:val="00EA254C"/>
    <w:rsid w:val="00EB51A2"/>
    <w:rsid w:val="00EC5481"/>
    <w:rsid w:val="00EE2C7D"/>
    <w:rsid w:val="00EF05C4"/>
    <w:rsid w:val="00F018A9"/>
    <w:rsid w:val="00F0529D"/>
    <w:rsid w:val="00F15312"/>
    <w:rsid w:val="00F2708C"/>
    <w:rsid w:val="00F331F3"/>
    <w:rsid w:val="00F33E42"/>
    <w:rsid w:val="00F341E6"/>
    <w:rsid w:val="00F3597B"/>
    <w:rsid w:val="00F47E57"/>
    <w:rsid w:val="00F54D8D"/>
    <w:rsid w:val="00F60409"/>
    <w:rsid w:val="00F616EB"/>
    <w:rsid w:val="00F62C5D"/>
    <w:rsid w:val="00F63C30"/>
    <w:rsid w:val="00F70146"/>
    <w:rsid w:val="00F70352"/>
    <w:rsid w:val="00F807E1"/>
    <w:rsid w:val="00F919F7"/>
    <w:rsid w:val="00FA6EBC"/>
    <w:rsid w:val="00FB1C89"/>
    <w:rsid w:val="00FC1B74"/>
    <w:rsid w:val="00FD16A4"/>
    <w:rsid w:val="00FF12BF"/>
    <w:rsid w:val="00FF1DF0"/>
    <w:rsid w:val="00FF2D73"/>
    <w:rsid w:val="00FF40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74D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7119"/>
    <w:pPr>
      <w:keepNext/>
      <w:numPr>
        <w:numId w:val="1"/>
      </w:numPr>
      <w:tabs>
        <w:tab w:val="clear" w:pos="1141"/>
        <w:tab w:val="left" w:pos="425"/>
      </w:tabs>
      <w:spacing w:before="240" w:after="240"/>
      <w:ind w:left="425" w:hanging="425"/>
      <w:outlineLvl w:val="0"/>
    </w:pPr>
    <w:rPr>
      <w:rFonts w:cs="Arial"/>
      <w:b/>
      <w:bCs/>
      <w:caps/>
      <w:kern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7119"/>
    <w:pPr>
      <w:keepNext/>
      <w:numPr>
        <w:ilvl w:val="1"/>
        <w:numId w:val="1"/>
      </w:numPr>
      <w:tabs>
        <w:tab w:val="clear" w:pos="1285"/>
        <w:tab w:val="left" w:pos="425"/>
      </w:tabs>
      <w:spacing w:before="240" w:after="240"/>
      <w:ind w:left="0" w:firstLine="0"/>
      <w:jc w:val="both"/>
      <w:outlineLvl w:val="1"/>
    </w:pPr>
    <w:rPr>
      <w:rFonts w:cs="Arial"/>
      <w:b/>
      <w:bCs/>
      <w:iCs/>
    </w:rPr>
  </w:style>
  <w:style w:type="paragraph" w:styleId="Heading3">
    <w:name w:val="heading 3"/>
    <w:basedOn w:val="Normal"/>
    <w:next w:val="Normal"/>
    <w:link w:val="Heading3Char"/>
    <w:uiPriority w:val="99"/>
    <w:qFormat/>
    <w:rsid w:val="00BE7119"/>
    <w:pPr>
      <w:keepNext/>
      <w:numPr>
        <w:ilvl w:val="2"/>
        <w:numId w:val="1"/>
      </w:numPr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E7119"/>
    <w:pPr>
      <w:keepNext/>
      <w:numPr>
        <w:ilvl w:val="3"/>
        <w:numId w:val="1"/>
      </w:numPr>
      <w:spacing w:before="240" w:after="60"/>
      <w:jc w:val="both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BE7119"/>
    <w:pPr>
      <w:numPr>
        <w:ilvl w:val="4"/>
        <w:numId w:val="1"/>
      </w:numPr>
      <w:spacing w:before="240" w:after="60"/>
      <w:jc w:val="both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BE7119"/>
    <w:pPr>
      <w:numPr>
        <w:ilvl w:val="5"/>
        <w:numId w:val="1"/>
      </w:numPr>
      <w:spacing w:before="240" w:after="60"/>
      <w:jc w:val="both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E7119"/>
    <w:pPr>
      <w:numPr>
        <w:ilvl w:val="6"/>
        <w:numId w:val="1"/>
      </w:numPr>
      <w:spacing w:before="240" w:after="60"/>
      <w:jc w:val="both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BE7119"/>
    <w:pPr>
      <w:numPr>
        <w:ilvl w:val="7"/>
        <w:numId w:val="1"/>
      </w:numPr>
      <w:spacing w:before="240" w:after="60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BE7119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7119"/>
    <w:rPr>
      <w:rFonts w:cs="Arial"/>
      <w:b/>
      <w:bCs/>
      <w:caps/>
      <w:kern w:val="3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7119"/>
    <w:rPr>
      <w:rFonts w:cs="Arial"/>
      <w:b/>
      <w:bCs/>
      <w:i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BE7119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BE7119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BE7119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BE7119"/>
    <w:rPr>
      <w:rFonts w:cs="Times New Roman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BE7119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locked/>
    <w:rsid w:val="00BE7119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BE7119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HeaderChar"/>
    <w:uiPriority w:val="99"/>
    <w:rsid w:val="00053EA8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3470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53EA8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C3470"/>
    <w:rPr>
      <w:sz w:val="24"/>
      <w:szCs w:val="24"/>
    </w:rPr>
  </w:style>
  <w:style w:type="paragraph" w:customStyle="1" w:styleId="TtuloArtigo">
    <w:name w:val="TítuloArtigo"/>
    <w:basedOn w:val="Normal"/>
    <w:next w:val="Normal"/>
    <w:uiPriority w:val="99"/>
    <w:rsid w:val="00BE7119"/>
    <w:pPr>
      <w:ind w:firstLine="425"/>
      <w:jc w:val="center"/>
    </w:pPr>
    <w:rPr>
      <w:b/>
      <w:caps/>
      <w:sz w:val="28"/>
      <w:szCs w:val="28"/>
    </w:rPr>
  </w:style>
  <w:style w:type="paragraph" w:customStyle="1" w:styleId="Autor">
    <w:name w:val="Autor"/>
    <w:basedOn w:val="Normal"/>
    <w:next w:val="Normal"/>
    <w:uiPriority w:val="99"/>
    <w:rsid w:val="00BE7119"/>
    <w:pPr>
      <w:jc w:val="both"/>
    </w:pPr>
  </w:style>
  <w:style w:type="paragraph" w:customStyle="1" w:styleId="Resumo">
    <w:name w:val="Resumo"/>
    <w:basedOn w:val="Normal"/>
    <w:next w:val="Normal"/>
    <w:uiPriority w:val="99"/>
    <w:rsid w:val="00BE7119"/>
    <w:pPr>
      <w:jc w:val="both"/>
    </w:pPr>
    <w:rPr>
      <w:i/>
    </w:rPr>
  </w:style>
  <w:style w:type="paragraph" w:customStyle="1" w:styleId="TITREFBIB">
    <w:name w:val="TITREFBIB"/>
    <w:basedOn w:val="Normal"/>
    <w:next w:val="Normal"/>
    <w:uiPriority w:val="99"/>
    <w:rsid w:val="00BE7119"/>
    <w:pPr>
      <w:spacing w:before="240" w:after="240"/>
    </w:pPr>
    <w:rPr>
      <w:b/>
      <w:caps/>
    </w:rPr>
  </w:style>
  <w:style w:type="paragraph" w:customStyle="1" w:styleId="RefBib">
    <w:name w:val="RefBib"/>
    <w:basedOn w:val="Normal"/>
    <w:uiPriority w:val="99"/>
    <w:rsid w:val="00BE7119"/>
    <w:pPr>
      <w:jc w:val="both"/>
    </w:pPr>
  </w:style>
  <w:style w:type="paragraph" w:customStyle="1" w:styleId="REAd-Marcador2">
    <w:name w:val="REAd - Marcador 2"/>
    <w:basedOn w:val="Normal"/>
    <w:uiPriority w:val="99"/>
    <w:rsid w:val="00590F79"/>
    <w:pPr>
      <w:numPr>
        <w:ilvl w:val="1"/>
        <w:numId w:val="2"/>
      </w:numPr>
    </w:pPr>
    <w:rPr>
      <w:rFonts w:ascii="Arial" w:hAnsi="Arial"/>
    </w:rPr>
  </w:style>
  <w:style w:type="character" w:styleId="Hyperlink">
    <w:name w:val="Hyperlink"/>
    <w:basedOn w:val="DefaultParagraphFont"/>
    <w:uiPriority w:val="99"/>
    <w:rsid w:val="00590F79"/>
    <w:rPr>
      <w:rFonts w:cs="Times New Roman"/>
      <w:color w:val="0000FF"/>
      <w:u w:val="single"/>
    </w:rPr>
  </w:style>
  <w:style w:type="table" w:styleId="TableSimple1">
    <w:name w:val="Table Simple 1"/>
    <w:basedOn w:val="TableNormal"/>
    <w:uiPriority w:val="99"/>
    <w:rsid w:val="00590F79"/>
    <w:rPr>
      <w:rFonts w:ascii="Arial" w:hAnsi="Arial"/>
      <w:sz w:val="18"/>
      <w:szCs w:val="20"/>
    </w:rPr>
    <w:tblPr>
      <w:tblStyleColBandSize w:val="1"/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horttext1">
    <w:name w:val="short_text1"/>
    <w:basedOn w:val="DefaultParagraphFont"/>
    <w:uiPriority w:val="99"/>
    <w:rsid w:val="0060454F"/>
    <w:rPr>
      <w:rFonts w:cs="Times New Roman"/>
      <w:sz w:val="29"/>
      <w:szCs w:val="29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wmf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oleObject" Target="embeddings/oleObject2.bin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www.fem.unicamp.br/~em672/Engler.ppt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wmf"/><Relationship Id="rId5" Type="http://schemas.openxmlformats.org/officeDocument/2006/relationships/footnotes" Target="footnotes.xml"/><Relationship Id="rId15" Type="http://schemas.openxmlformats.org/officeDocument/2006/relationships/hyperlink" Target="http://www.bosch.com.br/br/autopecas/arquivosCatalogo/injecao_2002.pdf" TargetMode="Externa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3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8</Pages>
  <Words>2074</Words>
  <Characters>11205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ENSAIO DE VAZÃO EM BICO INJETOR AUTOMOBILISTICO</dc:title>
  <dc:subject/>
  <dc:creator>Rafael</dc:creator>
  <cp:keywords/>
  <dc:description/>
  <cp:lastModifiedBy>faap</cp:lastModifiedBy>
  <cp:revision>5</cp:revision>
  <dcterms:created xsi:type="dcterms:W3CDTF">2010-08-13T01:25:00Z</dcterms:created>
  <dcterms:modified xsi:type="dcterms:W3CDTF">2010-08-13T01:35:00Z</dcterms:modified>
</cp:coreProperties>
</file>